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9" w:rsidRDefault="00D23C49" w:rsidP="00D23C49">
      <w:pPr>
        <w:spacing w:line="360" w:lineRule="auto"/>
        <w:jc w:val="center"/>
        <w:outlineLvl w:val="0"/>
        <w:rPr>
          <w:b/>
          <w:bCs/>
          <w:lang w:val="en-US"/>
        </w:rPr>
      </w:pPr>
    </w:p>
    <w:p w:rsidR="00A81A00" w:rsidRPr="00A81A00" w:rsidRDefault="00A81A00" w:rsidP="00D23C49">
      <w:pPr>
        <w:spacing w:line="360" w:lineRule="auto"/>
        <w:jc w:val="center"/>
        <w:outlineLvl w:val="0"/>
        <w:rPr>
          <w:b/>
          <w:bCs/>
          <w:lang w:val="en-US"/>
        </w:rPr>
      </w:pPr>
    </w:p>
    <w:p w:rsidR="00A37206" w:rsidRPr="00D23C49" w:rsidRDefault="00A37206" w:rsidP="00D23C49">
      <w:pPr>
        <w:spacing w:line="360" w:lineRule="auto"/>
        <w:jc w:val="center"/>
        <w:outlineLvl w:val="0"/>
        <w:rPr>
          <w:b/>
          <w:bCs/>
        </w:rPr>
      </w:pPr>
    </w:p>
    <w:p w:rsidR="00D23C49" w:rsidRDefault="00607CEF" w:rsidP="00D23C49">
      <w:pPr>
        <w:spacing w:line="360" w:lineRule="auto"/>
        <w:jc w:val="center"/>
        <w:rPr>
          <w:b/>
        </w:rPr>
      </w:pPr>
      <w:r>
        <w:rPr>
          <w:b/>
        </w:rPr>
        <w:t>Н</w:t>
      </w:r>
      <w:r w:rsidR="008E14D8">
        <w:rPr>
          <w:b/>
        </w:rPr>
        <w:t>АЦИОНАЛНА</w:t>
      </w:r>
      <w:r w:rsidR="00D23C49">
        <w:rPr>
          <w:b/>
        </w:rPr>
        <w:t xml:space="preserve"> ПЛАТФОРМА </w:t>
      </w:r>
    </w:p>
    <w:p w:rsidR="00D23C49" w:rsidRDefault="00D23C49" w:rsidP="00D23C49">
      <w:pPr>
        <w:spacing w:line="360" w:lineRule="auto"/>
        <w:jc w:val="center"/>
        <w:rPr>
          <w:b/>
        </w:rPr>
      </w:pPr>
      <w:r>
        <w:rPr>
          <w:b/>
        </w:rPr>
        <w:t>„ОБЕДИНЕНИ ЗА УЧЕНЕТО НА ВЪЗРАСТНИ“</w:t>
      </w:r>
    </w:p>
    <w:p w:rsidR="00607CEF" w:rsidRPr="008E14D8" w:rsidRDefault="008E14D8" w:rsidP="00D23C49">
      <w:pPr>
        <w:spacing w:line="360" w:lineRule="auto"/>
        <w:jc w:val="center"/>
        <w:rPr>
          <w:i/>
        </w:rPr>
      </w:pPr>
      <w:r w:rsidRPr="008E14D8">
        <w:rPr>
          <w:i/>
        </w:rPr>
        <w:t>(мисия, цели и програма)</w:t>
      </w:r>
    </w:p>
    <w:p w:rsidR="00607CEF" w:rsidRDefault="00607CEF" w:rsidP="00D23C49">
      <w:pPr>
        <w:spacing w:line="360" w:lineRule="auto"/>
        <w:jc w:val="center"/>
        <w:rPr>
          <w:b/>
        </w:rPr>
      </w:pPr>
    </w:p>
    <w:p w:rsidR="008E14D8" w:rsidRDefault="008E14D8" w:rsidP="00D23C49">
      <w:pPr>
        <w:spacing w:line="360" w:lineRule="auto"/>
        <w:jc w:val="center"/>
        <w:rPr>
          <w:b/>
          <w:lang w:val="en-US"/>
        </w:rPr>
      </w:pPr>
    </w:p>
    <w:p w:rsidR="00A81A00" w:rsidRPr="00A81A00" w:rsidRDefault="00A81A00" w:rsidP="00D23C49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607CEF" w:rsidRDefault="00C92968" w:rsidP="00BA430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 w:rsidRPr="00607CEF">
        <w:rPr>
          <w:b/>
        </w:rPr>
        <w:t>МИСИЯ</w:t>
      </w:r>
    </w:p>
    <w:p w:rsidR="00606004" w:rsidRDefault="00083D3B" w:rsidP="00083D3B">
      <w:pPr>
        <w:pStyle w:val="ListParagraph"/>
        <w:spacing w:line="360" w:lineRule="auto"/>
        <w:ind w:left="0" w:firstLine="567"/>
        <w:jc w:val="both"/>
      </w:pPr>
      <w:r w:rsidRPr="00A37206">
        <w:t>Националната платформа „Обединени за ученето на възрастни“ (наречена по-нататък „Платформата“</w:t>
      </w:r>
      <w:r w:rsidR="00624195">
        <w:t xml:space="preserve"> или „НПОУВ“</w:t>
      </w:r>
      <w:r w:rsidRPr="00A37206">
        <w:t xml:space="preserve">) е създадена </w:t>
      </w:r>
      <w:r w:rsidR="00606004">
        <w:t xml:space="preserve">в рамките на проект </w:t>
      </w:r>
      <w:r w:rsidR="00606004">
        <w:rPr>
          <w:bCs/>
        </w:rPr>
        <w:t xml:space="preserve">Проект №: </w:t>
      </w:r>
      <w:r w:rsidR="00606004">
        <w:rPr>
          <w:bCs/>
          <w:lang w:val="en-US"/>
        </w:rPr>
        <w:t>3761</w:t>
      </w:r>
      <w:r w:rsidR="00606004">
        <w:rPr>
          <w:bCs/>
        </w:rPr>
        <w:t>-EPP-1-201</w:t>
      </w:r>
      <w:r w:rsidR="00606004">
        <w:rPr>
          <w:bCs/>
          <w:lang w:val="en-US"/>
        </w:rPr>
        <w:t>5</w:t>
      </w:r>
      <w:r w:rsidR="00606004" w:rsidRPr="003800AE">
        <w:rPr>
          <w:bCs/>
        </w:rPr>
        <w:t>-1-BG-EPPKA3-AL-AGENDA</w:t>
      </w:r>
      <w:r w:rsidR="00606004">
        <w:t>.</w:t>
      </w:r>
    </w:p>
    <w:p w:rsidR="00607CEF" w:rsidRPr="00A37206" w:rsidRDefault="00606004" w:rsidP="00083D3B">
      <w:pPr>
        <w:pStyle w:val="ListParagraph"/>
        <w:spacing w:line="360" w:lineRule="auto"/>
        <w:ind w:left="0" w:firstLine="567"/>
        <w:jc w:val="both"/>
      </w:pPr>
      <w:r>
        <w:t>Платформата</w:t>
      </w:r>
      <w:r w:rsidR="00083D3B" w:rsidRPr="00A37206">
        <w:t xml:space="preserve"> </w:t>
      </w:r>
      <w:r>
        <w:t>консолидира</w:t>
      </w:r>
      <w:r w:rsidR="00083D3B" w:rsidRPr="00A37206">
        <w:t xml:space="preserve"> усилията на заинтересованите страни на национално, областно и местно равнище на управление за изпълнение на европейските и националните цели в сектора за учене на възрастни в България.</w:t>
      </w:r>
    </w:p>
    <w:p w:rsidR="00083D3B" w:rsidRPr="00A37206" w:rsidRDefault="00606004" w:rsidP="00083D3B">
      <w:pPr>
        <w:pStyle w:val="ListParagraph"/>
        <w:spacing w:line="360" w:lineRule="auto"/>
        <w:ind w:left="0" w:firstLine="567"/>
        <w:jc w:val="both"/>
      </w:pPr>
      <w:r>
        <w:t>Тя е</w:t>
      </w:r>
      <w:r w:rsidR="00083D3B" w:rsidRPr="00A37206">
        <w:t xml:space="preserve"> нов </w:t>
      </w:r>
      <w:r w:rsidR="003C6CE6">
        <w:t xml:space="preserve">подход за </w:t>
      </w:r>
      <w:r w:rsidR="009620DA">
        <w:t>съгласуване</w:t>
      </w:r>
      <w:r w:rsidR="003C6CE6">
        <w:t xml:space="preserve"> и акумулиране на личностна, експертна, институционална и организационна енергия, насочена към осъзнати промени в сектора за учене на възрастни</w:t>
      </w:r>
      <w:r w:rsidR="00624195">
        <w:t xml:space="preserve"> за ново</w:t>
      </w:r>
      <w:r w:rsidR="009620DA">
        <w:t xml:space="preserve"> </w:t>
      </w:r>
      <w:r w:rsidR="003C6CE6">
        <w:t xml:space="preserve">качество на работната сила и </w:t>
      </w:r>
      <w:r w:rsidR="009620DA">
        <w:t>постигане на икономически растеж</w:t>
      </w:r>
      <w:r w:rsidR="003C6CE6">
        <w:t>.</w:t>
      </w:r>
    </w:p>
    <w:p w:rsidR="00083D3B" w:rsidRDefault="00083D3B" w:rsidP="00083D3B">
      <w:pPr>
        <w:pStyle w:val="ListParagraph"/>
        <w:spacing w:line="360" w:lineRule="auto"/>
        <w:ind w:left="0" w:firstLine="567"/>
        <w:jc w:val="both"/>
        <w:rPr>
          <w:b/>
        </w:rPr>
      </w:pPr>
    </w:p>
    <w:p w:rsidR="00646363" w:rsidRDefault="00646363" w:rsidP="00BA430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>ЕВРОПЕЙСКИ И НАЦИОНАЛНИ ЦЕЛИ</w:t>
      </w:r>
    </w:p>
    <w:p w:rsidR="003D6B0B" w:rsidRPr="00D80A94" w:rsidRDefault="003D6B0B" w:rsidP="003D6B0B">
      <w:pPr>
        <w:spacing w:line="360" w:lineRule="auto"/>
        <w:ind w:left="567"/>
        <w:jc w:val="both"/>
        <w:rPr>
          <w:i/>
        </w:rPr>
      </w:pPr>
      <w:r w:rsidRPr="00D80A94">
        <w:rPr>
          <w:i/>
        </w:rPr>
        <w:t xml:space="preserve">1. </w:t>
      </w:r>
      <w:r w:rsidR="00A34A88" w:rsidRPr="00D80A94">
        <w:rPr>
          <w:i/>
        </w:rPr>
        <w:t>Европейски цели</w:t>
      </w:r>
      <w:r w:rsidR="00D80A94">
        <w:rPr>
          <w:i/>
        </w:rPr>
        <w:t>:</w:t>
      </w:r>
    </w:p>
    <w:p w:rsidR="00646363" w:rsidRPr="004411E2" w:rsidRDefault="004411E2" w:rsidP="004411E2">
      <w:pPr>
        <w:pStyle w:val="ListParagraph"/>
        <w:spacing w:line="360" w:lineRule="auto"/>
        <w:ind w:left="0" w:firstLine="567"/>
        <w:jc w:val="both"/>
      </w:pPr>
      <w:r w:rsidRPr="004411E2">
        <w:t>Настоящата Платформа допринася за изпълнението на следните европейски приоритети</w:t>
      </w:r>
      <w:r w:rsidR="003D6B0B">
        <w:t xml:space="preserve">, определени през 2011 г. в Обновената Европейска </w:t>
      </w:r>
      <w:r w:rsidR="006B5609">
        <w:t>програма</w:t>
      </w:r>
      <w:r w:rsidR="003D6B0B">
        <w:t xml:space="preserve"> за учене на възрастни, както следва:</w:t>
      </w:r>
    </w:p>
    <w:p w:rsidR="00DA3BB8" w:rsidRPr="00D80A94" w:rsidRDefault="00DA3BB8" w:rsidP="00DA3BB8">
      <w:pPr>
        <w:tabs>
          <w:tab w:val="left" w:pos="851"/>
        </w:tabs>
        <w:spacing w:line="360" w:lineRule="auto"/>
        <w:ind w:firstLine="567"/>
        <w:jc w:val="both"/>
      </w:pPr>
      <w:r w:rsidRPr="00D80A94">
        <w:t>1.</w:t>
      </w:r>
      <w:r w:rsidRPr="00D80A94">
        <w:tab/>
        <w:t>Превръщане на ученето през целия живот и мобилността в реалност;</w:t>
      </w:r>
    </w:p>
    <w:p w:rsidR="00DA3BB8" w:rsidRPr="00D80A94" w:rsidRDefault="00DA3BB8" w:rsidP="00DA3BB8">
      <w:pPr>
        <w:tabs>
          <w:tab w:val="left" w:pos="851"/>
        </w:tabs>
        <w:spacing w:line="360" w:lineRule="auto"/>
        <w:ind w:firstLine="567"/>
        <w:jc w:val="both"/>
      </w:pPr>
      <w:r w:rsidRPr="00D80A94">
        <w:t>2.</w:t>
      </w:r>
      <w:r w:rsidRPr="00D80A94">
        <w:tab/>
        <w:t>Подобряване на качеството и ефективността на образованието и обучението;</w:t>
      </w:r>
    </w:p>
    <w:p w:rsidR="00DA3BB8" w:rsidRPr="00D80A94" w:rsidRDefault="00DA3BB8" w:rsidP="00DA3BB8">
      <w:pPr>
        <w:tabs>
          <w:tab w:val="left" w:pos="851"/>
        </w:tabs>
        <w:spacing w:line="360" w:lineRule="auto"/>
        <w:ind w:firstLine="567"/>
        <w:jc w:val="both"/>
      </w:pPr>
      <w:r w:rsidRPr="00D80A94">
        <w:t>3.</w:t>
      </w:r>
      <w:r w:rsidRPr="00D80A94">
        <w:tab/>
        <w:t xml:space="preserve">Насърчаване на </w:t>
      </w:r>
      <w:proofErr w:type="spellStart"/>
      <w:r w:rsidRPr="00D80A94">
        <w:t>равнопоставеността</w:t>
      </w:r>
      <w:proofErr w:type="spellEnd"/>
      <w:r w:rsidRPr="00D80A94">
        <w:t>, социалното сближаване и активното гражданско участие посредством ученето за възрастни;</w:t>
      </w:r>
    </w:p>
    <w:p w:rsidR="00DA3BB8" w:rsidRPr="00D80A94" w:rsidRDefault="00DA3BB8" w:rsidP="00DA3BB8">
      <w:pPr>
        <w:tabs>
          <w:tab w:val="left" w:pos="851"/>
        </w:tabs>
        <w:spacing w:line="360" w:lineRule="auto"/>
        <w:ind w:firstLine="567"/>
        <w:jc w:val="both"/>
      </w:pPr>
      <w:r w:rsidRPr="00D80A94">
        <w:lastRenderedPageBreak/>
        <w:t>4.</w:t>
      </w:r>
      <w:r w:rsidRPr="00D80A94">
        <w:tab/>
        <w:t>Засилване на творческия дух и новаторството у възрастните и в учебната им среда;</w:t>
      </w:r>
    </w:p>
    <w:p w:rsidR="00DA3BB8" w:rsidRPr="00D80A94" w:rsidRDefault="00DA3BB8" w:rsidP="00DA3BB8">
      <w:pPr>
        <w:tabs>
          <w:tab w:val="left" w:pos="851"/>
        </w:tabs>
        <w:spacing w:line="360" w:lineRule="auto"/>
        <w:ind w:firstLine="567"/>
        <w:jc w:val="both"/>
      </w:pPr>
      <w:r w:rsidRPr="00D80A94">
        <w:t>5.</w:t>
      </w:r>
      <w:r w:rsidRPr="00D80A94">
        <w:tab/>
        <w:t>Подобряване на базата знания, свързани с ученето за възрастни, и на мониторинга в този сектор.</w:t>
      </w:r>
    </w:p>
    <w:p w:rsidR="00A21353" w:rsidRDefault="00D80A94" w:rsidP="00A21353">
      <w:pPr>
        <w:pStyle w:val="ListParagraph"/>
        <w:spacing w:line="360" w:lineRule="auto"/>
        <w:ind w:left="0" w:firstLine="567"/>
        <w:jc w:val="both"/>
      </w:pPr>
      <w:r>
        <w:t>П</w:t>
      </w:r>
      <w:r w:rsidR="00A21353">
        <w:t xml:space="preserve">рез месец декември </w:t>
      </w:r>
      <w:r w:rsidR="00A21353" w:rsidRPr="00D12567">
        <w:t>2015 г.</w:t>
      </w:r>
      <w:r w:rsidR="00BF27A3">
        <w:t>,</w:t>
      </w:r>
      <w:r w:rsidR="00A21353" w:rsidRPr="00D12567">
        <w:t xml:space="preserve"> </w:t>
      </w:r>
      <w:r w:rsidR="00A21353">
        <w:t>след извършен преглед на прилагането на Стратегическата рамка за европейско сътрудничество в областта на образованието и обучението („Образованието и обучение 2020“)</w:t>
      </w:r>
      <w:r w:rsidR="00BF27A3">
        <w:t>,</w:t>
      </w:r>
      <w:r w:rsidR="00A21353">
        <w:t xml:space="preserve"> са формулирани </w:t>
      </w:r>
      <w:r w:rsidR="00A21353" w:rsidRPr="00D12567">
        <w:rPr>
          <w:b/>
        </w:rPr>
        <w:t>нови специфични приоритети за ученето на възрастни</w:t>
      </w:r>
      <w:r w:rsidR="00A21353">
        <w:t>,</w:t>
      </w:r>
      <w:r>
        <w:t xml:space="preserve"> обвързани със съществуващите приоритети</w:t>
      </w:r>
      <w:r w:rsidR="00A21353">
        <w:t xml:space="preserve"> от 2011 г. Те са насочени по-конкретно към управлението, предлагането и разпространението, гъвкавостта и достъпа</w:t>
      </w:r>
      <w:r>
        <w:t>, както</w:t>
      </w:r>
      <w:r w:rsidR="00A21353">
        <w:t xml:space="preserve"> и</w:t>
      </w:r>
      <w:r>
        <w:t xml:space="preserve"> към</w:t>
      </w:r>
      <w:r w:rsidR="00A21353">
        <w:t xml:space="preserve"> качеството, както следва:</w:t>
      </w:r>
    </w:p>
    <w:p w:rsidR="00A21353" w:rsidRPr="00A21353" w:rsidRDefault="00A21353" w:rsidP="00BA430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D80A94">
        <w:rPr>
          <w:bCs/>
          <w:i/>
        </w:rPr>
        <w:t>Управление:</w:t>
      </w:r>
      <w:r w:rsidRPr="00A21353">
        <w:rPr>
          <w:b/>
          <w:bCs/>
        </w:rPr>
        <w:t xml:space="preserve"> </w:t>
      </w:r>
      <w:r w:rsidRPr="00A21353">
        <w:t>осигуряване на съгласуваност на обучението за възрастни с други области на политиката, подобряване на координацията, ефективността и съответствието с потребностите на обществото, икономиката и околната среда</w:t>
      </w:r>
      <w:r>
        <w:t>, вкл.</w:t>
      </w:r>
      <w:r w:rsidRPr="00A21353">
        <w:t xml:space="preserve"> повишаване, когато е уместно, както на частните, така и на публичните инвестиции;</w:t>
      </w:r>
    </w:p>
    <w:p w:rsidR="00A21353" w:rsidRPr="00A21353" w:rsidRDefault="00A21353" w:rsidP="00BA430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D80A94">
        <w:rPr>
          <w:bCs/>
          <w:i/>
        </w:rPr>
        <w:t>Предлагане и разпространение:</w:t>
      </w:r>
      <w:r w:rsidRPr="00A21353">
        <w:rPr>
          <w:b/>
          <w:bCs/>
        </w:rPr>
        <w:t xml:space="preserve"> </w:t>
      </w:r>
      <w:r w:rsidRPr="00A21353">
        <w:t>значително увеличаване на предлагането на висококачествено учене за възрастни, по-специално за придобиване на езикова и математическа грамотност и цифрови умения, повишаване на разпространението чрез ефективни информационни кампании, насоки и мотивационни стратегии, насочени към най-нуждаещите се групи</w:t>
      </w:r>
      <w:r>
        <w:t>;</w:t>
      </w:r>
    </w:p>
    <w:p w:rsidR="00A21353" w:rsidRPr="00A21353" w:rsidRDefault="00A21353" w:rsidP="00BA430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D80A94">
        <w:rPr>
          <w:bCs/>
          <w:i/>
        </w:rPr>
        <w:t>Гъвкавост и достъп:</w:t>
      </w:r>
      <w:r w:rsidRPr="00A21353">
        <w:rPr>
          <w:b/>
          <w:bCs/>
        </w:rPr>
        <w:t xml:space="preserve"> </w:t>
      </w:r>
      <w:r w:rsidRPr="00A21353">
        <w:t>разширяване на достъпа чрез повишаване на възможностите за учене в процеса на работа и ефективно използване на ИКТ; създаване на процедури за идентификация и оценяване на уменията на нискоквалифицираните възрастни и предоставяне на достатъчно възможности за втори шанс, които да водят до получаването на признати съгласно Европейската квалификационна рамка квалификации за тези, които нямат квалификации от степен 4 по Европейската квалификационна рамка</w:t>
      </w:r>
      <w:r>
        <w:t>;</w:t>
      </w:r>
    </w:p>
    <w:p w:rsidR="00A21353" w:rsidRPr="00A21353" w:rsidRDefault="00A21353" w:rsidP="00BA4307">
      <w:pPr>
        <w:pStyle w:val="ListParagraph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</w:pPr>
      <w:r w:rsidRPr="00D80A94">
        <w:rPr>
          <w:bCs/>
          <w:i/>
        </w:rPr>
        <w:t>Качество:</w:t>
      </w:r>
      <w:r w:rsidRPr="00A21353">
        <w:rPr>
          <w:b/>
          <w:bCs/>
        </w:rPr>
        <w:t xml:space="preserve"> </w:t>
      </w:r>
      <w:r w:rsidRPr="00A21353">
        <w:t>подобряване на осигуряването на качеството, вкл</w:t>
      </w:r>
      <w:r>
        <w:t>.</w:t>
      </w:r>
      <w:r w:rsidRPr="00A21353">
        <w:t xml:space="preserve"> наблюдението и оценката на въздействието, подобряване на първоначалното и продължаващото обучение на преподавателите за възрастни и събиране на необходимите данни относно потребностите, които действително трябва да бъдат посрещнати, </w:t>
      </w:r>
      <w:r>
        <w:t xml:space="preserve">както </w:t>
      </w:r>
      <w:r w:rsidRPr="00A21353">
        <w:t xml:space="preserve">и начините за това. </w:t>
      </w:r>
    </w:p>
    <w:p w:rsidR="00646363" w:rsidRPr="00D80A94" w:rsidRDefault="00A34A88" w:rsidP="00A34A88">
      <w:pPr>
        <w:spacing w:line="360" w:lineRule="auto"/>
        <w:ind w:left="567"/>
        <w:jc w:val="both"/>
        <w:rPr>
          <w:i/>
        </w:rPr>
      </w:pPr>
      <w:r w:rsidRPr="00D80A94">
        <w:rPr>
          <w:i/>
        </w:rPr>
        <w:lastRenderedPageBreak/>
        <w:t>2. Национални цели</w:t>
      </w:r>
      <w:r w:rsidR="00D80A94" w:rsidRPr="00D80A94">
        <w:rPr>
          <w:i/>
        </w:rPr>
        <w:t>:</w:t>
      </w:r>
    </w:p>
    <w:p w:rsidR="00A34A88" w:rsidRDefault="00A34A88" w:rsidP="00A34A88">
      <w:pPr>
        <w:spacing w:line="360" w:lineRule="auto"/>
        <w:ind w:firstLine="567"/>
        <w:jc w:val="both"/>
      </w:pPr>
      <w:r>
        <w:t xml:space="preserve">На национално равнище са дефинирани конкретни приоритети и </w:t>
      </w:r>
      <w:r w:rsidR="00D12567">
        <w:t xml:space="preserve">стратегически </w:t>
      </w:r>
      <w:r>
        <w:t xml:space="preserve">цели, определени в Националната стратегия за учене през целия живот за периода 2014-2020 година, приета с </w:t>
      </w:r>
      <w:r w:rsidR="00D12567">
        <w:rPr>
          <w:rFonts w:eastAsia="SimSun"/>
          <w:lang w:eastAsia="zh-CN"/>
        </w:rPr>
        <w:t xml:space="preserve">РМС </w:t>
      </w:r>
      <w:r w:rsidR="00D12567" w:rsidRPr="00C6546F">
        <w:rPr>
          <w:rFonts w:eastAsia="SimSun"/>
          <w:lang w:eastAsia="zh-CN"/>
        </w:rPr>
        <w:t>№ 12 от 10.01.2014 г.</w:t>
      </w:r>
      <w:r>
        <w:t xml:space="preserve"> Приоритетите в развитието на политиката за учене през целия живот са четири, както следва:</w:t>
      </w:r>
    </w:p>
    <w:p w:rsidR="00A34A88" w:rsidRPr="00F025D3" w:rsidRDefault="00A34A88" w:rsidP="00BA4307">
      <w:pPr>
        <w:pStyle w:val="ListParagraph"/>
        <w:numPr>
          <w:ilvl w:val="0"/>
          <w:numId w:val="5"/>
        </w:numPr>
        <w:spacing w:line="360" w:lineRule="auto"/>
        <w:ind w:left="851" w:hanging="284"/>
        <w:contextualSpacing/>
        <w:jc w:val="both"/>
      </w:pPr>
      <w:r w:rsidRPr="00F025D3">
        <w:t>прилагане на образователен подход, който подпомага развитието на всички учещи и допринася за изграждането на мислещи, можещи и инициативни личности, способни да се справят с промените и несигурността;</w:t>
      </w:r>
    </w:p>
    <w:p w:rsidR="00A34A88" w:rsidRPr="00F025D3" w:rsidRDefault="00A34A88" w:rsidP="00BA4307">
      <w:pPr>
        <w:pStyle w:val="ListParagraph"/>
        <w:numPr>
          <w:ilvl w:val="0"/>
          <w:numId w:val="5"/>
        </w:numPr>
        <w:spacing w:line="360" w:lineRule="auto"/>
        <w:ind w:left="851" w:hanging="284"/>
        <w:contextualSpacing/>
        <w:jc w:val="both"/>
      </w:pPr>
      <w:r w:rsidRPr="00F025D3">
        <w:t>повишаване на качеството на образованието и обучението;</w:t>
      </w:r>
    </w:p>
    <w:p w:rsidR="00A34A88" w:rsidRPr="00F025D3" w:rsidRDefault="00A34A88" w:rsidP="00BA4307">
      <w:pPr>
        <w:pStyle w:val="ListParagraph"/>
        <w:numPr>
          <w:ilvl w:val="0"/>
          <w:numId w:val="5"/>
        </w:numPr>
        <w:spacing w:line="360" w:lineRule="auto"/>
        <w:ind w:left="851" w:hanging="284"/>
        <w:contextualSpacing/>
        <w:jc w:val="both"/>
      </w:pPr>
      <w:r w:rsidRPr="00F025D3">
        <w:t>осигуряване на образователна среда за равноправен достъп до учене през целия живот, за активно социално включване и активно гражданско участие;</w:t>
      </w:r>
    </w:p>
    <w:p w:rsidR="00A34A88" w:rsidRPr="00F025D3" w:rsidRDefault="00A34A88" w:rsidP="00BA4307">
      <w:pPr>
        <w:pStyle w:val="ListParagraph"/>
        <w:numPr>
          <w:ilvl w:val="0"/>
          <w:numId w:val="5"/>
        </w:numPr>
        <w:spacing w:line="360" w:lineRule="auto"/>
        <w:ind w:left="851" w:hanging="284"/>
        <w:contextualSpacing/>
        <w:jc w:val="both"/>
      </w:pPr>
      <w:r w:rsidRPr="00F025D3">
        <w:t>стимулиране на образование и обучение, съобразено с потребностите на икономиката и промените на пазара на труда.</w:t>
      </w:r>
    </w:p>
    <w:p w:rsidR="00A34A88" w:rsidRPr="00660D88" w:rsidRDefault="00D12567" w:rsidP="00A34A88">
      <w:pPr>
        <w:tabs>
          <w:tab w:val="left" w:pos="851"/>
        </w:tabs>
        <w:spacing w:line="360" w:lineRule="auto"/>
        <w:ind w:firstLine="567"/>
        <w:jc w:val="both"/>
      </w:pPr>
      <w:r>
        <w:t>Стратегическите</w:t>
      </w:r>
      <w:r w:rsidR="00A34A88">
        <w:t xml:space="preserve"> цели </w:t>
      </w:r>
      <w:r w:rsidR="00E11452">
        <w:t xml:space="preserve"> на национално равнище </w:t>
      </w:r>
      <w:r>
        <w:t xml:space="preserve">са формулирани взаимообвързано с европейските цели за сътрудничество в образованието и обучението и </w:t>
      </w:r>
      <w:r w:rsidR="00A34A88">
        <w:t>очертават очакваното състояние на системата за учене през целия живот</w:t>
      </w:r>
      <w:r w:rsidR="00D80A94">
        <w:t xml:space="preserve"> в България</w:t>
      </w:r>
      <w:r w:rsidR="00A34A88">
        <w:t>, което следва да бъде пос</w:t>
      </w:r>
      <w:r>
        <w:t>тигнато до 2020 г. Те са</w:t>
      </w:r>
      <w:r w:rsidR="00A34A88">
        <w:t>: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Повишаване на дела на обхванатите в предучилищното възпитание и подготовка деца на възраст от 4 г. до постъпване в първи клас от 87.8% през 2012 г. на 90 % през 2020 г.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Намаляване на дела на преждевременно напусналите образователната система на възраст от 18 до 24 г. от 12.5% през 2012 г. под 11% през 2020 г.;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Намаляване на дела на 15 годишните със слаби постижения по:</w:t>
      </w:r>
    </w:p>
    <w:p w:rsidR="00A34A88" w:rsidRPr="00F025D3" w:rsidRDefault="00A34A88" w:rsidP="00BA4307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1134" w:hanging="283"/>
        <w:contextualSpacing/>
        <w:jc w:val="both"/>
      </w:pPr>
      <w:r w:rsidRPr="00F025D3">
        <w:t>четене от 39.4% през 2012 г. на 30% през 2020 г.;</w:t>
      </w:r>
    </w:p>
    <w:p w:rsidR="00A34A88" w:rsidRPr="00F025D3" w:rsidRDefault="00A34A88" w:rsidP="00BA4307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1134" w:hanging="283"/>
        <w:contextualSpacing/>
        <w:jc w:val="both"/>
      </w:pPr>
      <w:r w:rsidRPr="00F025D3">
        <w:t>математика от 43.8% през 2012 г. на 35% през 2020 г.;</w:t>
      </w:r>
    </w:p>
    <w:p w:rsidR="00A34A88" w:rsidRPr="00F025D3" w:rsidRDefault="00A34A88" w:rsidP="00BA4307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1134" w:hanging="283"/>
        <w:contextualSpacing/>
        <w:jc w:val="both"/>
      </w:pPr>
      <w:r w:rsidRPr="00F025D3">
        <w:t>природни науки от 36.9% през 2012 г. на 30.0% през 2020 г.;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Повишаване на дела на придобилите степен на професионална квалификация в широките области „Информатика”, „Техника”, „Производство и преработка” и „Архитектура и строителство” най-малко на 60% през 2020 г.;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Повишаване на дела на завършилите висше образование на възраст от 30 до 34 г. от 26.9% през 2012 г. на 36% през 2020 г.;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lastRenderedPageBreak/>
        <w:t>Повишаване заетостта на населението на възраст от 20 до 64 г. от 63 % през 2012 г. на 76%</w:t>
      </w:r>
      <w:r>
        <w:t xml:space="preserve"> </w:t>
      </w:r>
      <w:r w:rsidRPr="00F025D3">
        <w:t>през 2020 г .;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Повишаване на участието на населението на 25-64 навършени години в образование и обучение от 1.5% през 2012 г. на повече от 5% през 2020 г. (4 седмичен референтен период);</w:t>
      </w:r>
    </w:p>
    <w:p w:rsidR="00A34A88" w:rsidRPr="00F025D3" w:rsidRDefault="00A34A88" w:rsidP="00BA4307">
      <w:pPr>
        <w:pStyle w:val="ListParagraph"/>
        <w:numPr>
          <w:ilvl w:val="0"/>
          <w:numId w:val="6"/>
        </w:numPr>
        <w:tabs>
          <w:tab w:val="left" w:pos="851"/>
        </w:tabs>
        <w:spacing w:line="360" w:lineRule="auto"/>
        <w:ind w:left="851" w:hanging="284"/>
        <w:contextualSpacing/>
        <w:jc w:val="both"/>
      </w:pPr>
      <w:r w:rsidRPr="00F025D3">
        <w:t>Намаляване на дела на неграмотните:</w:t>
      </w:r>
    </w:p>
    <w:p w:rsidR="00A34A88" w:rsidRPr="00F025D3" w:rsidRDefault="00A34A88" w:rsidP="00BA4307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1134" w:hanging="283"/>
        <w:contextualSpacing/>
        <w:jc w:val="both"/>
      </w:pPr>
      <w:r w:rsidRPr="00F025D3">
        <w:t>сред лицата на възраст 15-19 г. от 2.0% през 2011 г. на 1.5% през 2020 г.;</w:t>
      </w:r>
    </w:p>
    <w:p w:rsidR="00A34A88" w:rsidRPr="00F025D3" w:rsidRDefault="00A34A88" w:rsidP="00BA4307">
      <w:pPr>
        <w:pStyle w:val="ListParagraph"/>
        <w:numPr>
          <w:ilvl w:val="0"/>
          <w:numId w:val="7"/>
        </w:numPr>
        <w:tabs>
          <w:tab w:val="left" w:pos="851"/>
        </w:tabs>
        <w:spacing w:line="360" w:lineRule="auto"/>
        <w:ind w:left="1134" w:hanging="283"/>
        <w:contextualSpacing/>
        <w:jc w:val="both"/>
      </w:pPr>
      <w:r w:rsidRPr="00F025D3">
        <w:t>сред 20-29 годишните – от 2.3% през 2011 г. на 1.5% през 2020 г.</w:t>
      </w:r>
    </w:p>
    <w:p w:rsidR="00646363" w:rsidRPr="00D80A94" w:rsidRDefault="00D80A94" w:rsidP="00083D3B">
      <w:pPr>
        <w:pStyle w:val="ListParagraph"/>
        <w:spacing w:line="360" w:lineRule="auto"/>
        <w:ind w:left="0" w:firstLine="567"/>
        <w:jc w:val="both"/>
      </w:pPr>
      <w:r w:rsidRPr="00D80A94">
        <w:t xml:space="preserve">Изпълнението на </w:t>
      </w:r>
      <w:r>
        <w:t xml:space="preserve">цитираните по-горе национални стратегически цели се конкретизира на оперативно равнище чрез годишни планове за действие, като към м. март 2016 г. са приети два плана: за 2014 г. и за 2016 г., </w:t>
      </w:r>
      <w:r w:rsidR="00657E2F">
        <w:t xml:space="preserve">а </w:t>
      </w:r>
      <w:proofErr w:type="spellStart"/>
      <w:r>
        <w:t>мониторирането</w:t>
      </w:r>
      <w:proofErr w:type="spellEnd"/>
      <w:r>
        <w:t xml:space="preserve"> им се извършва чрез годишни </w:t>
      </w:r>
      <w:proofErr w:type="spellStart"/>
      <w:r>
        <w:t>мониторингови</w:t>
      </w:r>
      <w:proofErr w:type="spellEnd"/>
      <w:r>
        <w:t xml:space="preserve"> доклади</w:t>
      </w:r>
      <w:r w:rsidR="00657E2F">
        <w:t xml:space="preserve">, като към момента е приет Годишен </w:t>
      </w:r>
      <w:proofErr w:type="spellStart"/>
      <w:r w:rsidR="00657E2F">
        <w:t>мониторингов</w:t>
      </w:r>
      <w:proofErr w:type="spellEnd"/>
      <w:r w:rsidR="00657E2F">
        <w:t xml:space="preserve"> доклад за изпълнението през 2014 г. на Националната стратегия за учене през целия живот.</w:t>
      </w:r>
    </w:p>
    <w:p w:rsidR="00D80A94" w:rsidRPr="00607CEF" w:rsidRDefault="00D80A94" w:rsidP="00083D3B">
      <w:pPr>
        <w:pStyle w:val="ListParagraph"/>
        <w:spacing w:line="360" w:lineRule="auto"/>
        <w:ind w:left="0" w:firstLine="567"/>
        <w:jc w:val="both"/>
        <w:rPr>
          <w:b/>
        </w:rPr>
      </w:pPr>
    </w:p>
    <w:p w:rsidR="00607CEF" w:rsidRDefault="00C92968" w:rsidP="00BA430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 w:rsidRPr="00607CEF">
        <w:rPr>
          <w:b/>
        </w:rPr>
        <w:t>ЦЕЛИ</w:t>
      </w:r>
      <w:r w:rsidR="00646363">
        <w:rPr>
          <w:b/>
        </w:rPr>
        <w:t xml:space="preserve"> </w:t>
      </w:r>
      <w:r w:rsidR="00A21353">
        <w:rPr>
          <w:b/>
        </w:rPr>
        <w:t xml:space="preserve">НА </w:t>
      </w:r>
      <w:r w:rsidR="00646363">
        <w:rPr>
          <w:b/>
        </w:rPr>
        <w:t>ПЛАТФОРМАТА</w:t>
      </w:r>
    </w:p>
    <w:p w:rsidR="00083D3B" w:rsidRPr="00083D3B" w:rsidRDefault="009620DA" w:rsidP="00083D3B">
      <w:pPr>
        <w:tabs>
          <w:tab w:val="left" w:pos="567"/>
        </w:tabs>
        <w:spacing w:line="360" w:lineRule="auto"/>
        <w:jc w:val="both"/>
      </w:pPr>
      <w:r>
        <w:rPr>
          <w:b/>
        </w:rPr>
        <w:tab/>
      </w:r>
      <w:r w:rsidR="00646363">
        <w:rPr>
          <w:b/>
        </w:rPr>
        <w:t xml:space="preserve">Общата цел </w:t>
      </w:r>
      <w:r w:rsidR="00083D3B" w:rsidRPr="00083D3B">
        <w:t>е координиране на действията на представителите на заинтересованите страни на различни равнища на управление</w:t>
      </w:r>
      <w:r w:rsidR="00A21353">
        <w:t xml:space="preserve"> в сектора з</w:t>
      </w:r>
      <w:r w:rsidR="00657E2F">
        <w:t>а учене на възрастни в България и концентриране на обществените усилия за повишаване на участието на българските граждани в дейности за учене през целия живот.</w:t>
      </w:r>
    </w:p>
    <w:p w:rsidR="00083D3B" w:rsidRDefault="009620DA" w:rsidP="00083D3B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083D3B" w:rsidRPr="00083D3B">
        <w:rPr>
          <w:b/>
        </w:rPr>
        <w:t>Конкретни</w:t>
      </w:r>
      <w:r w:rsidR="00646363">
        <w:rPr>
          <w:b/>
        </w:rPr>
        <w:t>те</w:t>
      </w:r>
      <w:r w:rsidR="00083D3B" w:rsidRPr="00083D3B">
        <w:rPr>
          <w:b/>
        </w:rPr>
        <w:t xml:space="preserve"> цели</w:t>
      </w:r>
      <w:r w:rsidR="00646363">
        <w:rPr>
          <w:b/>
        </w:rPr>
        <w:t xml:space="preserve"> </w:t>
      </w:r>
      <w:r>
        <w:rPr>
          <w:b/>
        </w:rPr>
        <w:t>са</w:t>
      </w:r>
      <w:r w:rsidR="00083D3B" w:rsidRPr="00083D3B">
        <w:rPr>
          <w:b/>
        </w:rPr>
        <w:t>:</w:t>
      </w:r>
    </w:p>
    <w:p w:rsidR="00083D3B" w:rsidRDefault="006B5609" w:rsidP="00BA430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</w:pPr>
      <w:r>
        <w:t>д</w:t>
      </w:r>
      <w:r w:rsidR="00083D3B" w:rsidRPr="00A37206">
        <w:t xml:space="preserve">а допринася за изпълнение на приоритетите на Обновената Европейска програма за учене на възрастни </w:t>
      </w:r>
      <w:r w:rsidR="00A21353">
        <w:t>от 2011 г. , както и</w:t>
      </w:r>
      <w:r w:rsidR="00E11452">
        <w:t xml:space="preserve"> за</w:t>
      </w:r>
      <w:r w:rsidR="00A21353">
        <w:t xml:space="preserve"> </w:t>
      </w:r>
      <w:r w:rsidR="00083D3B" w:rsidRPr="00A37206">
        <w:t>нови</w:t>
      </w:r>
      <w:r w:rsidR="00A21353">
        <w:t>те специфични приоритети</w:t>
      </w:r>
      <w:r w:rsidR="00083D3B" w:rsidRPr="00A37206">
        <w:t>;</w:t>
      </w:r>
    </w:p>
    <w:p w:rsidR="00B057C3" w:rsidRDefault="006B5609" w:rsidP="00BA430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</w:pPr>
      <w:r>
        <w:t>д</w:t>
      </w:r>
      <w:r w:rsidR="00B057C3">
        <w:t xml:space="preserve">а осигури надграждане и устойчивост на основните резултати, постигнати от България </w:t>
      </w:r>
      <w:r w:rsidR="00636BF9">
        <w:t>в областта на координацията</w:t>
      </w:r>
      <w:r w:rsidR="00B057C3">
        <w:t xml:space="preserve">, </w:t>
      </w:r>
      <w:r w:rsidR="00636BF9">
        <w:t xml:space="preserve">осъществени в изпълнение на Европейската програма за учене на възрастни, </w:t>
      </w:r>
      <w:r w:rsidR="00B057C3">
        <w:t xml:space="preserve">вкл. по отношение </w:t>
      </w:r>
      <w:r w:rsidR="00636BF9">
        <w:t xml:space="preserve">дейността на националния координатор за учене на възрастни, </w:t>
      </w:r>
      <w:r w:rsidR="00B057C3">
        <w:t>Националната координационна група за учене през целия живот, областните координатори за учене на възрастни и Националната мрежа за учене на възрастни;</w:t>
      </w:r>
    </w:p>
    <w:p w:rsidR="00B057C3" w:rsidRDefault="006B5609" w:rsidP="00BA430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</w:pPr>
      <w:r>
        <w:lastRenderedPageBreak/>
        <w:t>д</w:t>
      </w:r>
      <w:r w:rsidR="00A37206" w:rsidRPr="00A37206">
        <w:t>а допринася за изпълнение на стратегическите цели, определени в Националната стратегия за учене през целия живот за пе</w:t>
      </w:r>
      <w:r w:rsidR="00E11452">
        <w:t>риода 2014-2020 година</w:t>
      </w:r>
      <w:r w:rsidR="00636BF9">
        <w:t>, чрез обединяване на предприетите</w:t>
      </w:r>
      <w:r w:rsidR="00A37206" w:rsidRPr="00A37206">
        <w:t xml:space="preserve"> действия за ефективно и ефикасно изпълнение на оперативните документи за нейното</w:t>
      </w:r>
      <w:r w:rsidR="003C6CE6">
        <w:t xml:space="preserve"> планиране и отчитане</w:t>
      </w:r>
      <w:r w:rsidR="00D51882">
        <w:t xml:space="preserve">: </w:t>
      </w:r>
      <w:r w:rsidR="00A37206" w:rsidRPr="00A37206">
        <w:t xml:space="preserve">годишни планове за действие, годишни </w:t>
      </w:r>
      <w:proofErr w:type="spellStart"/>
      <w:r w:rsidR="00A37206" w:rsidRPr="00A37206">
        <w:t>мониторингови</w:t>
      </w:r>
      <w:proofErr w:type="spellEnd"/>
      <w:r w:rsidR="00A37206" w:rsidRPr="00A37206">
        <w:t xml:space="preserve"> доклади </w:t>
      </w:r>
      <w:r w:rsidR="00D51882">
        <w:t>и др.</w:t>
      </w:r>
    </w:p>
    <w:p w:rsidR="00B057C3" w:rsidRDefault="006B5609" w:rsidP="00BA430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</w:pPr>
      <w:r>
        <w:t>д</w:t>
      </w:r>
      <w:r w:rsidR="00B057C3">
        <w:t>а осигури нови канали за взаимодействие на заинтересованите страни на национално, областно и местно равнище н</w:t>
      </w:r>
      <w:r w:rsidR="00A21353">
        <w:t>а управление, които да въздействат върху</w:t>
      </w:r>
      <w:r w:rsidR="00B057C3">
        <w:t xml:space="preserve"> качество</w:t>
      </w:r>
      <w:r w:rsidR="00A21353">
        <w:t>то</w:t>
      </w:r>
      <w:r w:rsidR="00B057C3">
        <w:t xml:space="preserve"> на упр</w:t>
      </w:r>
      <w:r w:rsidR="00E11452">
        <w:t>авленските процеси и да подкрепят развитието на институционален</w:t>
      </w:r>
      <w:r w:rsidR="00B057C3">
        <w:t xml:space="preserve"> капацитет в сектора</w:t>
      </w:r>
      <w:r w:rsidR="00A21353">
        <w:t>;</w:t>
      </w:r>
    </w:p>
    <w:p w:rsidR="00D51882" w:rsidRDefault="006B5609" w:rsidP="00BA4307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851" w:hanging="284"/>
        <w:jc w:val="both"/>
      </w:pPr>
      <w:r>
        <w:t>д</w:t>
      </w:r>
      <w:r w:rsidR="00A37206">
        <w:t xml:space="preserve">а стимулира </w:t>
      </w:r>
      <w:r w:rsidR="00B057C3">
        <w:t>разработването и прилагането на нови видове</w:t>
      </w:r>
      <w:r w:rsidR="00A37206" w:rsidRPr="00A37206">
        <w:t xml:space="preserve"> </w:t>
      </w:r>
      <w:r w:rsidR="00A37206">
        <w:t xml:space="preserve">стратегически и оперативни </w:t>
      </w:r>
      <w:r w:rsidR="00636BF9">
        <w:t>документи, свързани с изпълнението</w:t>
      </w:r>
      <w:r w:rsidR="00A37206">
        <w:t xml:space="preserve"> на политиката за учене на възрастни на областно</w:t>
      </w:r>
      <w:r w:rsidR="00B057C3">
        <w:t xml:space="preserve"> и местно равнище </w:t>
      </w:r>
      <w:r w:rsidR="00A21353">
        <w:t>на управление с цел създаване на условия за предоставяне на</w:t>
      </w:r>
      <w:r w:rsidR="00B057C3">
        <w:t xml:space="preserve"> разн</w:t>
      </w:r>
      <w:r w:rsidR="00A21353">
        <w:t>ообразни възможности за учене на</w:t>
      </w:r>
      <w:r w:rsidR="00B057C3">
        <w:t xml:space="preserve"> всеки български гражданин</w:t>
      </w:r>
      <w:r w:rsidR="00A21353">
        <w:t>,</w:t>
      </w:r>
      <w:r w:rsidR="00B057C3">
        <w:t xml:space="preserve"> независимо от мястото, където живее и работи.</w:t>
      </w:r>
    </w:p>
    <w:p w:rsidR="00083D3B" w:rsidRPr="00083D3B" w:rsidRDefault="00083D3B" w:rsidP="00083D3B">
      <w:pPr>
        <w:pStyle w:val="ListParagraph"/>
        <w:spacing w:line="360" w:lineRule="auto"/>
        <w:ind w:left="567" w:hanging="567"/>
        <w:jc w:val="both"/>
        <w:rPr>
          <w:b/>
        </w:rPr>
      </w:pPr>
    </w:p>
    <w:p w:rsidR="00607CEF" w:rsidRDefault="00607CEF" w:rsidP="00BA430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 w:rsidRPr="00607CEF">
        <w:rPr>
          <w:b/>
        </w:rPr>
        <w:t>Координационен съвет</w:t>
      </w:r>
      <w:r w:rsidR="00C92968">
        <w:rPr>
          <w:b/>
        </w:rPr>
        <w:t xml:space="preserve"> (КС)</w:t>
      </w:r>
    </w:p>
    <w:p w:rsidR="00953C82" w:rsidRPr="00C92968" w:rsidRDefault="00953C82" w:rsidP="00953C82">
      <w:pPr>
        <w:pStyle w:val="ListParagraph"/>
        <w:spacing w:line="360" w:lineRule="auto"/>
        <w:ind w:left="567"/>
        <w:jc w:val="both"/>
        <w:rPr>
          <w:b/>
        </w:rPr>
      </w:pPr>
      <w:r w:rsidRPr="00C92968">
        <w:t>За</w:t>
      </w:r>
      <w:r w:rsidR="006B5609">
        <w:t xml:space="preserve"> вземане на общи решения се изгражда</w:t>
      </w:r>
      <w:r w:rsidRPr="00C92968">
        <w:t xml:space="preserve"> Координационен съвет на НПОУВ,</w:t>
      </w:r>
    </w:p>
    <w:p w:rsidR="00624195" w:rsidRPr="00B43AC3" w:rsidRDefault="006B5609" w:rsidP="006B5609">
      <w:pPr>
        <w:spacing w:line="360" w:lineRule="auto"/>
        <w:ind w:firstLine="567"/>
        <w:jc w:val="both"/>
        <w:rPr>
          <w:i/>
        </w:rPr>
      </w:pPr>
      <w:r w:rsidRPr="00B43AC3">
        <w:rPr>
          <w:i/>
        </w:rPr>
        <w:t xml:space="preserve">1. </w:t>
      </w:r>
      <w:r w:rsidR="00B43AC3">
        <w:rPr>
          <w:i/>
        </w:rPr>
        <w:t>Структура на Съвета</w:t>
      </w:r>
    </w:p>
    <w:p w:rsidR="00953C82" w:rsidRPr="00C92968" w:rsidRDefault="00953C82" w:rsidP="006B5609">
      <w:pPr>
        <w:spacing w:line="360" w:lineRule="auto"/>
        <w:ind w:firstLine="567"/>
        <w:jc w:val="both"/>
      </w:pPr>
      <w:r w:rsidRPr="00C92968">
        <w:t>Председател на Съвета е националния к</w:t>
      </w:r>
      <w:r w:rsidR="006B5609">
        <w:t xml:space="preserve">оординатор за </w:t>
      </w:r>
      <w:r w:rsidR="00B43AC3">
        <w:t>изпълнение на Европейската програма за учене на възрастни</w:t>
      </w:r>
      <w:r w:rsidR="006B5609">
        <w:t>.</w:t>
      </w:r>
    </w:p>
    <w:p w:rsidR="006B5609" w:rsidRDefault="006B5609" w:rsidP="006B5609">
      <w:pPr>
        <w:spacing w:line="360" w:lineRule="auto"/>
        <w:ind w:firstLine="567"/>
        <w:jc w:val="both"/>
      </w:pPr>
      <w:r>
        <w:t xml:space="preserve">В състава на съвета са </w:t>
      </w:r>
      <w:r w:rsidR="00B43AC3">
        <w:t>включени:</w:t>
      </w:r>
    </w:p>
    <w:p w:rsidR="006B5609" w:rsidRDefault="00624195" w:rsidP="00BA4307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</w:pPr>
      <w:r w:rsidRPr="00B43AC3">
        <w:rPr>
          <w:b/>
        </w:rPr>
        <w:t xml:space="preserve">трима представители на </w:t>
      </w:r>
      <w:r w:rsidR="00B43AC3">
        <w:rPr>
          <w:b/>
        </w:rPr>
        <w:t>Националната координационна група за учене през целия живот (</w:t>
      </w:r>
      <w:r w:rsidRPr="00B43AC3">
        <w:rPr>
          <w:b/>
        </w:rPr>
        <w:t>НКГУЦЖ</w:t>
      </w:r>
      <w:r w:rsidR="00B43AC3">
        <w:rPr>
          <w:b/>
        </w:rPr>
        <w:t>)</w:t>
      </w:r>
      <w:r w:rsidRPr="00C92968">
        <w:t xml:space="preserve"> – по един представител на държавата, национално представените работодате</w:t>
      </w:r>
      <w:r w:rsidR="00B43AC3">
        <w:t>лски организации и синдикатите;</w:t>
      </w:r>
    </w:p>
    <w:p w:rsidR="006B5609" w:rsidRDefault="00B43AC3" w:rsidP="00BA4307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</w:pPr>
      <w:r>
        <w:rPr>
          <w:b/>
        </w:rPr>
        <w:t>шест</w:t>
      </w:r>
      <w:r w:rsidR="00624195" w:rsidRPr="00B43AC3">
        <w:rPr>
          <w:b/>
        </w:rPr>
        <w:t xml:space="preserve"> областни координатори</w:t>
      </w:r>
      <w:r w:rsidR="00624195" w:rsidRPr="00C92968">
        <w:t xml:space="preserve"> </w:t>
      </w:r>
      <w:r>
        <w:t xml:space="preserve">за учене на възрастни </w:t>
      </w:r>
      <w:r w:rsidR="00624195" w:rsidRPr="00C92968">
        <w:t xml:space="preserve">– от пилотните области, посочени в </w:t>
      </w:r>
      <w:r>
        <w:rPr>
          <w:bCs/>
        </w:rPr>
        <w:t xml:space="preserve">Проект №: </w:t>
      </w:r>
      <w:r>
        <w:rPr>
          <w:bCs/>
          <w:lang w:val="en-US"/>
        </w:rPr>
        <w:t>3761</w:t>
      </w:r>
      <w:r>
        <w:rPr>
          <w:bCs/>
        </w:rPr>
        <w:t>-EPP-1-201</w:t>
      </w:r>
      <w:r>
        <w:rPr>
          <w:bCs/>
          <w:lang w:val="en-US"/>
        </w:rPr>
        <w:t>5</w:t>
      </w:r>
      <w:r w:rsidRPr="003800AE">
        <w:rPr>
          <w:bCs/>
        </w:rPr>
        <w:t>-1-BG-EPPKA3-AL-AGENDA</w:t>
      </w:r>
      <w:r w:rsidR="00624195" w:rsidRPr="00C92968">
        <w:t>, които представл</w:t>
      </w:r>
      <w:r>
        <w:t>яват шестте региона в страната;</w:t>
      </w:r>
    </w:p>
    <w:p w:rsidR="00B43AC3" w:rsidRDefault="00B43AC3" w:rsidP="00BA4307">
      <w:pPr>
        <w:pStyle w:val="ListParagraph"/>
        <w:numPr>
          <w:ilvl w:val="0"/>
          <w:numId w:val="9"/>
        </w:numPr>
        <w:spacing w:line="360" w:lineRule="auto"/>
        <w:ind w:left="851" w:hanging="284"/>
        <w:jc w:val="both"/>
      </w:pPr>
      <w:r>
        <w:rPr>
          <w:b/>
        </w:rPr>
        <w:t>шест представители на Националната мрежа за учене на възрастни -</w:t>
      </w:r>
      <w:r w:rsidR="00624195" w:rsidRPr="00C92968">
        <w:t xml:space="preserve"> ръководители на учебни заведения, в които се обучават най-голям брой възрастни – по един от шестте региона на страната. </w:t>
      </w:r>
    </w:p>
    <w:p w:rsidR="00624195" w:rsidRPr="00C92968" w:rsidRDefault="00624195" w:rsidP="00B43AC3">
      <w:pPr>
        <w:spacing w:line="360" w:lineRule="auto"/>
        <w:ind w:firstLine="567"/>
        <w:jc w:val="both"/>
      </w:pPr>
      <w:r w:rsidRPr="00C92968">
        <w:t>Админ</w:t>
      </w:r>
      <w:r w:rsidR="00B43AC3">
        <w:t xml:space="preserve">истративният секретар </w:t>
      </w:r>
      <w:r w:rsidRPr="00C92968">
        <w:t xml:space="preserve">подготвя материалите за заседанията на </w:t>
      </w:r>
      <w:r w:rsidR="00B43AC3">
        <w:t>Съвета.</w:t>
      </w:r>
    </w:p>
    <w:p w:rsidR="00624195" w:rsidRPr="00B43AC3" w:rsidRDefault="00624195" w:rsidP="00B43AC3">
      <w:pPr>
        <w:spacing w:line="360" w:lineRule="auto"/>
        <w:ind w:firstLine="567"/>
        <w:jc w:val="both"/>
        <w:rPr>
          <w:i/>
        </w:rPr>
      </w:pPr>
      <w:r w:rsidRPr="00B43AC3">
        <w:rPr>
          <w:i/>
        </w:rPr>
        <w:lastRenderedPageBreak/>
        <w:t>2. Функции на Съвета</w:t>
      </w:r>
    </w:p>
    <w:p w:rsidR="003C5CEE" w:rsidRPr="003C5CEE" w:rsidRDefault="00B43AC3" w:rsidP="00BA4307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proofErr w:type="spellStart"/>
      <w:r>
        <w:t>мониторира</w:t>
      </w:r>
      <w:proofErr w:type="spellEnd"/>
      <w:r>
        <w:t xml:space="preserve"> и оценява изпълнението на </w:t>
      </w:r>
      <w:r w:rsidR="00EA1FA4" w:rsidRPr="00953C82">
        <w:t>дейности</w:t>
      </w:r>
      <w:r>
        <w:t>те</w:t>
      </w:r>
      <w:r w:rsidR="006B5609">
        <w:t xml:space="preserve"> по </w:t>
      </w:r>
      <w:r w:rsidR="006B5609">
        <w:rPr>
          <w:bCs/>
        </w:rPr>
        <w:t xml:space="preserve">Проект №: </w:t>
      </w:r>
      <w:r w:rsidR="006B5609">
        <w:rPr>
          <w:bCs/>
          <w:lang w:val="en-US"/>
        </w:rPr>
        <w:t>3761</w:t>
      </w:r>
      <w:r w:rsidR="006B5609">
        <w:rPr>
          <w:bCs/>
        </w:rPr>
        <w:t>-EPP-1-201</w:t>
      </w:r>
      <w:r w:rsidR="006B5609">
        <w:rPr>
          <w:bCs/>
          <w:lang w:val="en-US"/>
        </w:rPr>
        <w:t>5</w:t>
      </w:r>
      <w:r w:rsidR="006B5609" w:rsidRPr="003800AE">
        <w:rPr>
          <w:bCs/>
        </w:rPr>
        <w:t>-1-BG-EPPKA3-AL-AGENDA</w:t>
      </w:r>
      <w:r w:rsidR="00EA1FA4" w:rsidRPr="00953C82">
        <w:t xml:space="preserve">; </w:t>
      </w:r>
    </w:p>
    <w:p w:rsidR="006B5609" w:rsidRPr="00C92968" w:rsidRDefault="00B43AC3" w:rsidP="00BA4307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r>
        <w:t>участва</w:t>
      </w:r>
      <w:r w:rsidR="006B5609">
        <w:t xml:space="preserve"> в подготовката, обсъждането и прилагането на стратегически и оперативни документи на областно и местно равнище на управление, р</w:t>
      </w:r>
      <w:r w:rsidR="00636BF9">
        <w:t xml:space="preserve">азработвани в рамките на </w:t>
      </w:r>
      <w:r w:rsidR="006B5609">
        <w:rPr>
          <w:bCs/>
        </w:rPr>
        <w:t xml:space="preserve">Проект №: </w:t>
      </w:r>
      <w:r w:rsidR="006B5609">
        <w:rPr>
          <w:bCs/>
          <w:lang w:val="en-US"/>
        </w:rPr>
        <w:t>3761</w:t>
      </w:r>
      <w:r w:rsidR="006B5609">
        <w:rPr>
          <w:bCs/>
        </w:rPr>
        <w:t>-EPP-1-201</w:t>
      </w:r>
      <w:r w:rsidR="006B5609">
        <w:rPr>
          <w:bCs/>
          <w:lang w:val="en-US"/>
        </w:rPr>
        <w:t>5</w:t>
      </w:r>
      <w:r w:rsidR="006B5609" w:rsidRPr="003800AE">
        <w:rPr>
          <w:bCs/>
        </w:rPr>
        <w:t>-1-BG-EPPKA3-AL-AGENDA</w:t>
      </w:r>
      <w:r w:rsidR="006B5609">
        <w:rPr>
          <w:bCs/>
        </w:rPr>
        <w:t>;</w:t>
      </w:r>
    </w:p>
    <w:p w:rsidR="00C92968" w:rsidRPr="006B5609" w:rsidRDefault="006B5609" w:rsidP="00BA4307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r>
        <w:t>обсъжд</w:t>
      </w:r>
      <w:r w:rsidR="00242F49">
        <w:t>а</w:t>
      </w:r>
      <w:r>
        <w:t xml:space="preserve"> становища,</w:t>
      </w:r>
      <w:r w:rsidR="00EA1FA4" w:rsidRPr="00953C82">
        <w:t xml:space="preserve"> представени на всички равнища </w:t>
      </w:r>
      <w:r w:rsidR="00242F49">
        <w:t xml:space="preserve">на управление </w:t>
      </w:r>
      <w:r w:rsidR="00EA1FA4" w:rsidRPr="00953C82">
        <w:t xml:space="preserve">във връзка с годишните националните доклади за напредъка в сектора за учене на възрастни, </w:t>
      </w:r>
      <w:r w:rsidR="00242F49">
        <w:t xml:space="preserve">както и </w:t>
      </w:r>
      <w:r w:rsidR="00EA1FA4" w:rsidRPr="00953C82">
        <w:t>актуални въпроси, свързани с развитието на сектора на национално, регионално и местно ниво</w:t>
      </w:r>
      <w:r w:rsidR="00C92968">
        <w:t>;</w:t>
      </w:r>
    </w:p>
    <w:p w:rsidR="003C5CEE" w:rsidRPr="00C92968" w:rsidRDefault="00242F49" w:rsidP="00BA4307">
      <w:pPr>
        <w:pStyle w:val="ListParagraph"/>
        <w:numPr>
          <w:ilvl w:val="0"/>
          <w:numId w:val="3"/>
        </w:numPr>
        <w:spacing w:line="360" w:lineRule="auto"/>
        <w:ind w:left="851" w:hanging="284"/>
        <w:jc w:val="both"/>
        <w:rPr>
          <w:b/>
        </w:rPr>
      </w:pPr>
      <w:r>
        <w:t>формулира</w:t>
      </w:r>
      <w:r w:rsidR="00C92968">
        <w:t xml:space="preserve"> </w:t>
      </w:r>
      <w:r w:rsidR="00EA1FA4" w:rsidRPr="00953C82">
        <w:t>предложения за подходящото представяне на добри практики, съдържанието на програмата на Дните за учене през целия живот</w:t>
      </w:r>
      <w:r w:rsidR="00C92968">
        <w:t>, планирани през 2016 г. и 2017 г.,</w:t>
      </w:r>
      <w:r w:rsidR="00636BF9">
        <w:t xml:space="preserve"> мястото за провеждането им, както </w:t>
      </w:r>
      <w:r w:rsidR="00EA1FA4" w:rsidRPr="00953C82">
        <w:t xml:space="preserve">и </w:t>
      </w:r>
      <w:r w:rsidR="00636BF9">
        <w:t xml:space="preserve">на други </w:t>
      </w:r>
      <w:proofErr w:type="spellStart"/>
      <w:r w:rsidR="00636BF9">
        <w:t>други</w:t>
      </w:r>
      <w:proofErr w:type="spellEnd"/>
      <w:r w:rsidR="00636BF9">
        <w:t xml:space="preserve"> инициативи, заложени в </w:t>
      </w:r>
      <w:r w:rsidR="00636BF9">
        <w:rPr>
          <w:bCs/>
        </w:rPr>
        <w:t xml:space="preserve">Проект №: </w:t>
      </w:r>
      <w:r w:rsidR="00636BF9">
        <w:rPr>
          <w:bCs/>
          <w:lang w:val="en-US"/>
        </w:rPr>
        <w:t>3761</w:t>
      </w:r>
      <w:r w:rsidR="00636BF9">
        <w:rPr>
          <w:bCs/>
        </w:rPr>
        <w:t>-EPP-1-201</w:t>
      </w:r>
      <w:r w:rsidR="00636BF9">
        <w:rPr>
          <w:bCs/>
          <w:lang w:val="en-US"/>
        </w:rPr>
        <w:t>5</w:t>
      </w:r>
      <w:r w:rsidR="00636BF9" w:rsidRPr="003800AE">
        <w:rPr>
          <w:bCs/>
        </w:rPr>
        <w:t>-1-BG-EPPKA3-AL-AGENDA</w:t>
      </w:r>
    </w:p>
    <w:p w:rsidR="003C5CEE" w:rsidRDefault="003C5CEE" w:rsidP="003C5CEE">
      <w:pPr>
        <w:spacing w:line="360" w:lineRule="auto"/>
        <w:jc w:val="both"/>
      </w:pPr>
    </w:p>
    <w:p w:rsidR="00607CEF" w:rsidRDefault="00242F49" w:rsidP="00BA4307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>
        <w:rPr>
          <w:b/>
        </w:rPr>
        <w:t>П</w:t>
      </w:r>
      <w:r w:rsidRPr="00607CEF">
        <w:rPr>
          <w:b/>
        </w:rPr>
        <w:t>РОГРАМА ЗА ОБЕДИНЕНИ ДЕЙСТВИЯ</w:t>
      </w:r>
      <w:r>
        <w:rPr>
          <w:b/>
        </w:rPr>
        <w:t xml:space="preserve"> И ГРАФИК ЗА ИЗПЪЛНЕНИЕТО ИМ</w:t>
      </w:r>
    </w:p>
    <w:p w:rsidR="00EA1FA4" w:rsidRPr="00242F49" w:rsidRDefault="00242F49" w:rsidP="00242F49">
      <w:pPr>
        <w:pStyle w:val="ListParagraph"/>
        <w:spacing w:line="360" w:lineRule="auto"/>
        <w:ind w:left="567"/>
        <w:jc w:val="both"/>
        <w:rPr>
          <w:i/>
        </w:rPr>
      </w:pPr>
      <w:r w:rsidRPr="00242F49">
        <w:rPr>
          <w:i/>
        </w:rPr>
        <w:t xml:space="preserve">1. </w:t>
      </w:r>
      <w:r w:rsidR="00290717">
        <w:rPr>
          <w:i/>
        </w:rPr>
        <w:t>О</w:t>
      </w:r>
      <w:r w:rsidR="00C92968" w:rsidRPr="00242F49">
        <w:rPr>
          <w:i/>
        </w:rPr>
        <w:t>бединени действия</w:t>
      </w:r>
      <w:r w:rsidR="00290717">
        <w:rPr>
          <w:i/>
        </w:rPr>
        <w:t>:</w:t>
      </w:r>
    </w:p>
    <w:p w:rsidR="003C5CEE" w:rsidRPr="00953C82" w:rsidRDefault="00242F49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</w:pPr>
      <w:r>
        <w:t>Запознаване на членовете на Съвета</w:t>
      </w:r>
      <w:r w:rsidR="003C5CEE" w:rsidRPr="00953C82">
        <w:t xml:space="preserve"> с новите</w:t>
      </w:r>
      <w:r>
        <w:t xml:space="preserve"> специфични</w:t>
      </w:r>
      <w:r w:rsidR="003C5CEE" w:rsidRPr="00953C82">
        <w:t xml:space="preserve"> приоритети на Европейската програма за учене на възрастни, с дейностите на </w:t>
      </w:r>
      <w:r>
        <w:t>национално равнище</w:t>
      </w:r>
      <w:r w:rsidR="003C5CEE" w:rsidRPr="00953C82">
        <w:t xml:space="preserve"> за периода 2015 – 20</w:t>
      </w:r>
      <w:r>
        <w:t xml:space="preserve">17 г., вкл. </w:t>
      </w:r>
      <w:r w:rsidR="003C5CEE" w:rsidRPr="00953C82">
        <w:t xml:space="preserve">обсъждане на мисията, целите и обща програма за действие на </w:t>
      </w:r>
      <w:r>
        <w:t>Платформата –</w:t>
      </w:r>
      <w:r w:rsidR="003C5CEE" w:rsidRPr="00953C82">
        <w:t xml:space="preserve"> организиран</w:t>
      </w:r>
      <w:r>
        <w:t>е и провеждане на</w:t>
      </w:r>
      <w:r w:rsidR="003C5CEE" w:rsidRPr="00953C82">
        <w:t xml:space="preserve"> стартиращ двудневен семинар</w:t>
      </w:r>
      <w:r>
        <w:t>;</w:t>
      </w:r>
    </w:p>
    <w:p w:rsidR="003C5CEE" w:rsidRPr="00953C82" w:rsidRDefault="00242F49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</w:pPr>
      <w:r>
        <w:t>П</w:t>
      </w:r>
      <w:r w:rsidR="003C5CEE" w:rsidRPr="00953C82">
        <w:t xml:space="preserve">редставяне на </w:t>
      </w:r>
      <w:r>
        <w:t xml:space="preserve">мисията, </w:t>
      </w:r>
      <w:r w:rsidR="003C5CEE" w:rsidRPr="00953C82">
        <w:t>целите и програмата за действие на</w:t>
      </w:r>
      <w:r>
        <w:t xml:space="preserve"> Платформата</w:t>
      </w:r>
      <w:r w:rsidR="003C5CEE" w:rsidRPr="00953C82">
        <w:t xml:space="preserve"> </w:t>
      </w:r>
      <w:r w:rsidRPr="00953C82">
        <w:t>за всички нейни структури и участници</w:t>
      </w:r>
      <w:r>
        <w:t xml:space="preserve"> – организиран и проведен</w:t>
      </w:r>
      <w:r w:rsidR="003C5CEE" w:rsidRPr="00953C82">
        <w:t xml:space="preserve"> </w:t>
      </w:r>
      <w:proofErr w:type="spellStart"/>
      <w:r w:rsidR="003C5CEE" w:rsidRPr="00953C82">
        <w:t>уебинар</w:t>
      </w:r>
      <w:proofErr w:type="spellEnd"/>
      <w:r w:rsidR="003C5CEE" w:rsidRPr="00953C82">
        <w:t>.</w:t>
      </w:r>
    </w:p>
    <w:p w:rsidR="00242F49" w:rsidRDefault="00242F49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</w:pPr>
      <w:r>
        <w:t>Организиране и провеждане на три</w:t>
      </w:r>
      <w:r w:rsidR="003C5CEE" w:rsidRPr="00953C82">
        <w:t xml:space="preserve"> еднодневни работни срещи – една през пролетта на 2017 г. и две през есе</w:t>
      </w:r>
      <w:r>
        <w:t>нта съответно на 2016 и 2017 г.</w:t>
      </w:r>
    </w:p>
    <w:p w:rsidR="003C5CEE" w:rsidRPr="00953C82" w:rsidRDefault="00242F49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</w:pPr>
      <w:r>
        <w:t>Организиране и провеждане на три</w:t>
      </w:r>
      <w:r w:rsidRPr="00953C82">
        <w:t xml:space="preserve"> </w:t>
      </w:r>
      <w:proofErr w:type="spellStart"/>
      <w:r w:rsidR="0088105C">
        <w:t>уеб</w:t>
      </w:r>
      <w:r w:rsidR="003C5CEE" w:rsidRPr="00953C82">
        <w:t>инари</w:t>
      </w:r>
      <w:proofErr w:type="spellEnd"/>
      <w:r w:rsidR="003C5CEE" w:rsidRPr="00953C82">
        <w:t xml:space="preserve"> за всички учас</w:t>
      </w:r>
      <w:r>
        <w:t>тници в Платформата</w:t>
      </w:r>
      <w:r w:rsidRPr="00242F49">
        <w:t xml:space="preserve"> </w:t>
      </w:r>
      <w:r>
        <w:t>(</w:t>
      </w:r>
      <w:r w:rsidRPr="00953C82">
        <w:t>членовете на НКГУЦЖ, областните</w:t>
      </w:r>
      <w:r>
        <w:t xml:space="preserve"> координатори, членовете на </w:t>
      </w:r>
      <w:r>
        <w:lastRenderedPageBreak/>
        <w:t>НМ</w:t>
      </w:r>
      <w:r w:rsidRPr="00953C82">
        <w:t>УВ</w:t>
      </w:r>
      <w:r>
        <w:t>), след всяка от трите работни срещи, вкл. представяне</w:t>
      </w:r>
      <w:r w:rsidR="003C5CEE" w:rsidRPr="00953C82">
        <w:t xml:space="preserve"> и допълнително консултирани </w:t>
      </w:r>
      <w:r>
        <w:t xml:space="preserve">на </w:t>
      </w:r>
      <w:r w:rsidR="003C5CEE" w:rsidRPr="00953C82">
        <w:t>основ</w:t>
      </w:r>
      <w:r>
        <w:t xml:space="preserve">ните теми и материали, </w:t>
      </w:r>
      <w:r w:rsidR="003C5CEE" w:rsidRPr="00953C82">
        <w:t>обсъждани от С</w:t>
      </w:r>
      <w:r>
        <w:t>ъвета</w:t>
      </w:r>
      <w:r w:rsidR="003C5CEE" w:rsidRPr="00953C82">
        <w:t xml:space="preserve">. </w:t>
      </w:r>
    </w:p>
    <w:p w:rsidR="003C5CEE" w:rsidRPr="00953C82" w:rsidRDefault="00242F49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</w:pPr>
      <w:r>
        <w:t>Създаване на</w:t>
      </w:r>
      <w:r w:rsidR="003C5CEE" w:rsidRPr="00953C82">
        <w:t xml:space="preserve"> специална рубрика: Национална платформа „Обединени за ученето на възрастни</w:t>
      </w:r>
      <w:r>
        <w:t xml:space="preserve">“ на интернет страницата на националния координатор за учене на възрастни, в която </w:t>
      </w:r>
      <w:r w:rsidR="003C5CEE" w:rsidRPr="00953C82">
        <w:t>се публикуват всички списъци</w:t>
      </w:r>
      <w:r>
        <w:t xml:space="preserve"> и координати на участниците в П</w:t>
      </w:r>
      <w:r w:rsidR="003C5CEE" w:rsidRPr="00953C82">
        <w:t>латформата, документи, протоколи, новини, галерия, резюмета от дискусии</w:t>
      </w:r>
      <w:r>
        <w:t>, проведени</w:t>
      </w:r>
      <w:r w:rsidR="00827E24">
        <w:t xml:space="preserve"> в рамките на работните срещи, </w:t>
      </w:r>
      <w:proofErr w:type="spellStart"/>
      <w:r>
        <w:t>уебинарите</w:t>
      </w:r>
      <w:proofErr w:type="spellEnd"/>
      <w:r w:rsidR="00827E24">
        <w:t xml:space="preserve"> </w:t>
      </w:r>
      <w:r w:rsidR="003C5CEE" w:rsidRPr="00953C82">
        <w:t>и др.</w:t>
      </w:r>
    </w:p>
    <w:p w:rsidR="00827E24" w:rsidRPr="00827E24" w:rsidRDefault="00827E24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lang w:val="en-US"/>
        </w:rPr>
      </w:pPr>
      <w:r>
        <w:t>Осигуряване на</w:t>
      </w:r>
      <w:r w:rsidR="003C5CEE" w:rsidRPr="00953C82">
        <w:t xml:space="preserve"> условия за комуникация чрез </w:t>
      </w:r>
      <w:r>
        <w:t xml:space="preserve">създаване на </w:t>
      </w:r>
      <w:r w:rsidR="003C5CEE" w:rsidRPr="00953C82">
        <w:t xml:space="preserve">вътрешен форум на </w:t>
      </w:r>
      <w:r>
        <w:t xml:space="preserve">електронната страница на </w:t>
      </w:r>
      <w:r>
        <w:rPr>
          <w:bCs/>
        </w:rPr>
        <w:t xml:space="preserve">Проект №: </w:t>
      </w:r>
      <w:r>
        <w:rPr>
          <w:bCs/>
          <w:lang w:val="en-US"/>
        </w:rPr>
        <w:t>3761</w:t>
      </w:r>
      <w:r>
        <w:rPr>
          <w:bCs/>
        </w:rPr>
        <w:t>-EPP-1-201</w:t>
      </w:r>
      <w:r>
        <w:rPr>
          <w:bCs/>
          <w:lang w:val="en-US"/>
        </w:rPr>
        <w:t>5</w:t>
      </w:r>
      <w:r w:rsidRPr="003800AE">
        <w:rPr>
          <w:bCs/>
        </w:rPr>
        <w:t>-1-BG-EPPKA3-AL-AGENDA</w:t>
      </w:r>
      <w:r w:rsidR="003C5CEE" w:rsidRPr="00953C82">
        <w:t xml:space="preserve">. </w:t>
      </w:r>
    </w:p>
    <w:p w:rsidR="003C5CEE" w:rsidRPr="00953C82" w:rsidRDefault="00827E24" w:rsidP="00BA4307">
      <w:pPr>
        <w:pStyle w:val="ListParagraph"/>
        <w:numPr>
          <w:ilvl w:val="0"/>
          <w:numId w:val="10"/>
        </w:numPr>
        <w:spacing w:line="360" w:lineRule="auto"/>
        <w:ind w:left="851" w:hanging="284"/>
        <w:jc w:val="both"/>
        <w:rPr>
          <w:lang w:val="en-US"/>
        </w:rPr>
      </w:pPr>
      <w:r>
        <w:t>Представяне на основните резултати от дейността на Платформата и Съвета н</w:t>
      </w:r>
      <w:r w:rsidR="003C5CEE" w:rsidRPr="00953C82">
        <w:t>а на</w:t>
      </w:r>
      <w:r w:rsidR="00290717">
        <w:t xml:space="preserve">ционален форум по </w:t>
      </w:r>
      <w:r w:rsidR="00290717">
        <w:rPr>
          <w:bCs/>
        </w:rPr>
        <w:t xml:space="preserve">Проект №: </w:t>
      </w:r>
      <w:r w:rsidR="00290717">
        <w:rPr>
          <w:bCs/>
          <w:lang w:val="en-US"/>
        </w:rPr>
        <w:t>3761</w:t>
      </w:r>
      <w:r w:rsidR="00290717">
        <w:rPr>
          <w:bCs/>
        </w:rPr>
        <w:t>-EPP-1-201</w:t>
      </w:r>
      <w:r w:rsidR="00290717">
        <w:rPr>
          <w:bCs/>
          <w:lang w:val="en-US"/>
        </w:rPr>
        <w:t>5</w:t>
      </w:r>
      <w:r w:rsidR="00290717" w:rsidRPr="003800AE">
        <w:rPr>
          <w:bCs/>
        </w:rPr>
        <w:t>-1-BG-EPPKA3-AL-AGENDA</w:t>
      </w:r>
      <w:r w:rsidR="0088105C">
        <w:t xml:space="preserve"> при приключване на изпълнението на Работната програма на националния координатор за учене на възрастни за периода 2015-2017 г.</w:t>
      </w:r>
    </w:p>
    <w:p w:rsidR="00B5139B" w:rsidRDefault="00B5139B" w:rsidP="00290717">
      <w:pPr>
        <w:pStyle w:val="ListParagraph"/>
        <w:spacing w:line="360" w:lineRule="auto"/>
        <w:ind w:left="567"/>
        <w:jc w:val="both"/>
        <w:rPr>
          <w:i/>
        </w:rPr>
      </w:pPr>
    </w:p>
    <w:p w:rsidR="003C5CEE" w:rsidRDefault="00290717" w:rsidP="00290717">
      <w:pPr>
        <w:pStyle w:val="ListParagraph"/>
        <w:spacing w:line="360" w:lineRule="auto"/>
        <w:ind w:left="567"/>
        <w:jc w:val="both"/>
        <w:rPr>
          <w:i/>
        </w:rPr>
      </w:pPr>
      <w:r w:rsidRPr="00290717">
        <w:rPr>
          <w:i/>
        </w:rPr>
        <w:t xml:space="preserve">2. </w:t>
      </w:r>
      <w:r w:rsidR="00C92968" w:rsidRPr="00290717">
        <w:rPr>
          <w:i/>
        </w:rPr>
        <w:t>График за провеждане на обединените действия</w:t>
      </w:r>
    </w:p>
    <w:tbl>
      <w:tblPr>
        <w:tblStyle w:val="TableGrid"/>
        <w:tblW w:w="9708" w:type="dxa"/>
        <w:jc w:val="center"/>
        <w:tblLook w:val="04A0" w:firstRow="1" w:lastRow="0" w:firstColumn="1" w:lastColumn="0" w:noHBand="0" w:noVBand="1"/>
      </w:tblPr>
      <w:tblGrid>
        <w:gridCol w:w="1141"/>
        <w:gridCol w:w="6378"/>
        <w:gridCol w:w="2189"/>
      </w:tblGrid>
      <w:tr w:rsidR="00B5139B" w:rsidRPr="0010065B" w:rsidTr="00B5139B">
        <w:trPr>
          <w:jc w:val="center"/>
        </w:trPr>
        <w:tc>
          <w:tcPr>
            <w:tcW w:w="1141" w:type="dxa"/>
            <w:shd w:val="clear" w:color="auto" w:fill="auto"/>
            <w:vAlign w:val="center"/>
          </w:tcPr>
          <w:p w:rsidR="005A4935" w:rsidRDefault="00571079" w:rsidP="00290717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571079">
              <w:rPr>
                <w:b/>
                <w:bCs/>
              </w:rPr>
              <w:t xml:space="preserve">№ </w:t>
            </w:r>
          </w:p>
          <w:p w:rsidR="00571079" w:rsidRPr="00571079" w:rsidRDefault="00571079" w:rsidP="00290717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 w:rsidRPr="00571079">
              <w:rPr>
                <w:b/>
                <w:bCs/>
              </w:rPr>
              <w:t>по ред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71079" w:rsidRPr="00571079" w:rsidRDefault="005A4935" w:rsidP="00290717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Задачи за обединени действия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290717" w:rsidRDefault="005A4935" w:rsidP="00290717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 </w:t>
            </w:r>
          </w:p>
          <w:p w:rsidR="00571079" w:rsidRPr="00571079" w:rsidRDefault="005A4935" w:rsidP="00290717">
            <w:pPr>
              <w:spacing w:line="360" w:lineRule="auto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период на изпълнение</w:t>
            </w:r>
          </w:p>
        </w:tc>
      </w:tr>
      <w:tr w:rsidR="00571079" w:rsidRPr="0010065B" w:rsidTr="00B5139B">
        <w:trPr>
          <w:jc w:val="center"/>
        </w:trPr>
        <w:tc>
          <w:tcPr>
            <w:tcW w:w="1141" w:type="dxa"/>
          </w:tcPr>
          <w:p w:rsidR="00571079" w:rsidRPr="0010065B" w:rsidRDefault="00290717" w:rsidP="00B5139B">
            <w:pPr>
              <w:spacing w:line="276" w:lineRule="auto"/>
              <w:jc w:val="center"/>
              <w:outlineLvl w:val="0"/>
            </w:pPr>
            <w:r>
              <w:t>1.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>Изграждане на Координационен съвет на НПОУВ</w:t>
            </w:r>
          </w:p>
        </w:tc>
        <w:tc>
          <w:tcPr>
            <w:tcW w:w="2189" w:type="dxa"/>
          </w:tcPr>
          <w:p w:rsidR="00571079" w:rsidRPr="00290717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90717">
              <w:rPr>
                <w:bCs/>
              </w:rPr>
              <w:t>Декември 2015</w:t>
            </w:r>
            <w:r w:rsidR="001E3E2B">
              <w:rPr>
                <w:bCs/>
              </w:rPr>
              <w:t xml:space="preserve"> г.</w:t>
            </w:r>
          </w:p>
        </w:tc>
      </w:tr>
      <w:tr w:rsidR="00571079" w:rsidRPr="0010065B" w:rsidTr="00B5139B">
        <w:trPr>
          <w:jc w:val="center"/>
        </w:trPr>
        <w:tc>
          <w:tcPr>
            <w:tcW w:w="1141" w:type="dxa"/>
          </w:tcPr>
          <w:p w:rsidR="00571079" w:rsidRPr="0010065B" w:rsidRDefault="00290717" w:rsidP="00B5139B">
            <w:pPr>
              <w:spacing w:line="276" w:lineRule="auto"/>
              <w:jc w:val="center"/>
              <w:outlineLvl w:val="0"/>
            </w:pPr>
            <w:r>
              <w:t>2.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>Разработване на Програма на националната платформа „Обединени за ученето на възрастни</w:t>
            </w:r>
          </w:p>
        </w:tc>
        <w:tc>
          <w:tcPr>
            <w:tcW w:w="2189" w:type="dxa"/>
          </w:tcPr>
          <w:p w:rsidR="00571079" w:rsidRPr="00290717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90717">
              <w:rPr>
                <w:bCs/>
              </w:rPr>
              <w:t>Февруари</w:t>
            </w:r>
            <w:r w:rsidR="00B5139B">
              <w:rPr>
                <w:bCs/>
              </w:rPr>
              <w:t xml:space="preserve"> </w:t>
            </w:r>
            <w:r w:rsidRPr="00290717">
              <w:rPr>
                <w:bCs/>
              </w:rPr>
              <w:t>2016</w:t>
            </w:r>
            <w:r w:rsidR="00B5139B">
              <w:rPr>
                <w:bCs/>
              </w:rPr>
              <w:t xml:space="preserve"> г.</w:t>
            </w:r>
          </w:p>
        </w:tc>
      </w:tr>
      <w:tr w:rsidR="00571079" w:rsidRPr="0010065B" w:rsidTr="00B5139B">
        <w:trPr>
          <w:jc w:val="center"/>
        </w:trPr>
        <w:tc>
          <w:tcPr>
            <w:tcW w:w="1141" w:type="dxa"/>
          </w:tcPr>
          <w:p w:rsidR="00571079" w:rsidRPr="0010065B" w:rsidRDefault="00290717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378" w:type="dxa"/>
          </w:tcPr>
          <w:p w:rsidR="00571079" w:rsidRPr="0010065B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>Организиране на стартиращ двудневен семинар за членовете на Координационния съвет на Национална платформа „Обединени за ученето на възрастни“ с 20 бр. участници</w:t>
            </w:r>
          </w:p>
        </w:tc>
        <w:tc>
          <w:tcPr>
            <w:tcW w:w="2189" w:type="dxa"/>
          </w:tcPr>
          <w:p w:rsidR="00571079" w:rsidRPr="00290717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90717">
              <w:rPr>
                <w:bCs/>
              </w:rPr>
              <w:t>Март</w:t>
            </w:r>
            <w:r w:rsidR="00B5139B">
              <w:rPr>
                <w:bCs/>
              </w:rPr>
              <w:t xml:space="preserve"> </w:t>
            </w:r>
            <w:r w:rsidRPr="00290717">
              <w:rPr>
                <w:bCs/>
              </w:rPr>
              <w:t>2016</w:t>
            </w:r>
            <w:r w:rsidR="00B5139B">
              <w:rPr>
                <w:bCs/>
              </w:rPr>
              <w:t xml:space="preserve"> г.</w:t>
            </w:r>
          </w:p>
        </w:tc>
      </w:tr>
      <w:tr w:rsidR="00571079" w:rsidRPr="002E16A2" w:rsidTr="00B5139B">
        <w:trPr>
          <w:jc w:val="center"/>
        </w:trPr>
        <w:tc>
          <w:tcPr>
            <w:tcW w:w="1141" w:type="dxa"/>
          </w:tcPr>
          <w:p w:rsidR="00571079" w:rsidRPr="0010065B" w:rsidRDefault="00290717" w:rsidP="00B5139B">
            <w:pPr>
              <w:spacing w:line="276" w:lineRule="auto"/>
              <w:jc w:val="center"/>
              <w:outlineLvl w:val="0"/>
            </w:pPr>
            <w:r>
              <w:t>4.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 xml:space="preserve">Организиране на </w:t>
            </w:r>
            <w:proofErr w:type="spellStart"/>
            <w:r w:rsidRPr="0010065B">
              <w:t>уеббинар</w:t>
            </w:r>
            <w:proofErr w:type="spellEnd"/>
            <w:r w:rsidRPr="0010065B">
              <w:t xml:space="preserve"> за всички структури и участници в Националната платформа </w:t>
            </w:r>
            <w:r w:rsidRPr="00571079">
              <w:rPr>
                <w:bCs/>
              </w:rPr>
              <w:t>„Обединени за ученето на възрастни“</w:t>
            </w:r>
            <w:r w:rsidRPr="00571079">
              <w:rPr>
                <w:b/>
                <w:bCs/>
              </w:rPr>
              <w:t>.</w:t>
            </w:r>
          </w:p>
        </w:tc>
        <w:tc>
          <w:tcPr>
            <w:tcW w:w="2189" w:type="dxa"/>
          </w:tcPr>
          <w:p w:rsidR="00571079" w:rsidRPr="00290717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90717">
              <w:rPr>
                <w:bCs/>
              </w:rPr>
              <w:t>Април</w:t>
            </w:r>
            <w:r w:rsidR="00B5139B">
              <w:rPr>
                <w:bCs/>
              </w:rPr>
              <w:t xml:space="preserve"> </w:t>
            </w:r>
            <w:r w:rsidRPr="00290717">
              <w:rPr>
                <w:bCs/>
              </w:rPr>
              <w:t>2016</w:t>
            </w:r>
            <w:r w:rsidR="00B5139B">
              <w:rPr>
                <w:bCs/>
              </w:rPr>
              <w:t xml:space="preserve"> г.</w:t>
            </w:r>
          </w:p>
        </w:tc>
      </w:tr>
      <w:tr w:rsidR="00571079" w:rsidRPr="002E16A2" w:rsidTr="00B5139B">
        <w:trPr>
          <w:jc w:val="center"/>
        </w:trPr>
        <w:tc>
          <w:tcPr>
            <w:tcW w:w="1141" w:type="dxa"/>
          </w:tcPr>
          <w:p w:rsidR="00571079" w:rsidRPr="00571079" w:rsidRDefault="00290717" w:rsidP="00B5139B">
            <w:pPr>
              <w:spacing w:line="276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5.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rPr>
                <w:rFonts w:eastAsia="Times New Roman"/>
                <w:lang w:eastAsia="en-GB"/>
              </w:rPr>
            </w:pPr>
            <w:r w:rsidRPr="00571079">
              <w:rPr>
                <w:rFonts w:eastAsia="Times New Roman"/>
                <w:lang w:eastAsia="en-GB"/>
              </w:rPr>
              <w:t>Създаване на нова рубрика на електронната страница на проекта: „Национална платформа 2020“.</w:t>
            </w:r>
          </w:p>
        </w:tc>
        <w:tc>
          <w:tcPr>
            <w:tcW w:w="2189" w:type="dxa"/>
          </w:tcPr>
          <w:p w:rsidR="00571079" w:rsidRPr="00290717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90717">
              <w:rPr>
                <w:bCs/>
              </w:rPr>
              <w:t>Март 2016</w:t>
            </w:r>
            <w:r w:rsidR="00B5139B">
              <w:rPr>
                <w:bCs/>
              </w:rPr>
              <w:t xml:space="preserve"> г.</w:t>
            </w:r>
          </w:p>
        </w:tc>
      </w:tr>
      <w:tr w:rsidR="00571079" w:rsidRPr="002E16A2" w:rsidTr="00B5139B">
        <w:trPr>
          <w:jc w:val="center"/>
        </w:trPr>
        <w:tc>
          <w:tcPr>
            <w:tcW w:w="1141" w:type="dxa"/>
          </w:tcPr>
          <w:p w:rsidR="00571079" w:rsidRPr="0010065B" w:rsidRDefault="00501579" w:rsidP="00B5139B">
            <w:pPr>
              <w:spacing w:line="276" w:lineRule="auto"/>
              <w:jc w:val="center"/>
              <w:outlineLvl w:val="0"/>
            </w:pPr>
            <w:r>
              <w:t>6.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 xml:space="preserve">Организиране на 3 бр. еднодневни работни срещи – една през пролетта на 2017 г. и две през есента съответно на 2016 и 2017 г. за членовете на Координационния съвет на </w:t>
            </w:r>
            <w:r w:rsidRPr="0010065B">
              <w:lastRenderedPageBreak/>
              <w:t>НПОУВ</w:t>
            </w:r>
          </w:p>
        </w:tc>
        <w:tc>
          <w:tcPr>
            <w:tcW w:w="2189" w:type="dxa"/>
          </w:tcPr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lastRenderedPageBreak/>
              <w:t>Септември 2016</w:t>
            </w:r>
            <w:r w:rsidR="00B5139B">
              <w:rPr>
                <w:bCs/>
              </w:rPr>
              <w:t xml:space="preserve"> г.</w:t>
            </w:r>
          </w:p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t>Април 2017</w:t>
            </w:r>
            <w:r w:rsidR="00B5139B">
              <w:rPr>
                <w:bCs/>
              </w:rPr>
              <w:t xml:space="preserve"> г. </w:t>
            </w:r>
          </w:p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t>Октомври 2017</w:t>
            </w:r>
            <w:r w:rsidR="00B5139B">
              <w:rPr>
                <w:bCs/>
              </w:rPr>
              <w:t xml:space="preserve"> г. </w:t>
            </w:r>
          </w:p>
        </w:tc>
      </w:tr>
      <w:tr w:rsidR="00571079" w:rsidRPr="002E16A2" w:rsidTr="00B5139B">
        <w:trPr>
          <w:jc w:val="center"/>
        </w:trPr>
        <w:tc>
          <w:tcPr>
            <w:tcW w:w="1141" w:type="dxa"/>
          </w:tcPr>
          <w:p w:rsidR="00571079" w:rsidRPr="0010065B" w:rsidRDefault="00501579" w:rsidP="00B5139B">
            <w:pPr>
              <w:spacing w:line="276" w:lineRule="auto"/>
              <w:jc w:val="center"/>
              <w:outlineLvl w:val="0"/>
            </w:pPr>
            <w:r>
              <w:lastRenderedPageBreak/>
              <w:t>7.</w:t>
            </w:r>
          </w:p>
        </w:tc>
        <w:tc>
          <w:tcPr>
            <w:tcW w:w="6378" w:type="dxa"/>
          </w:tcPr>
          <w:p w:rsidR="00571079" w:rsidRPr="00571079" w:rsidRDefault="00571079" w:rsidP="00B5139B">
            <w:pPr>
              <w:spacing w:line="276" w:lineRule="auto"/>
              <w:jc w:val="both"/>
              <w:outlineLvl w:val="0"/>
              <w:rPr>
                <w:b/>
                <w:bCs/>
              </w:rPr>
            </w:pPr>
            <w:r w:rsidRPr="0010065B">
              <w:t xml:space="preserve">Организиране на 3 бр. </w:t>
            </w:r>
            <w:proofErr w:type="spellStart"/>
            <w:r w:rsidRPr="0010065B">
              <w:t>уеббинари</w:t>
            </w:r>
            <w:proofErr w:type="spellEnd"/>
            <w:r w:rsidRPr="0010065B">
              <w:t xml:space="preserve"> за всички участници в Национална платформа „Обединени за ученето на възрастни след срещите на КС</w:t>
            </w:r>
          </w:p>
        </w:tc>
        <w:tc>
          <w:tcPr>
            <w:tcW w:w="2189" w:type="dxa"/>
          </w:tcPr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t>Септември 2016</w:t>
            </w:r>
            <w:r w:rsidR="00B5139B">
              <w:rPr>
                <w:bCs/>
              </w:rPr>
              <w:t xml:space="preserve"> г. </w:t>
            </w:r>
          </w:p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t>Април 2017</w:t>
            </w:r>
            <w:r w:rsidR="00B5139B">
              <w:rPr>
                <w:bCs/>
              </w:rPr>
              <w:t xml:space="preserve"> г. </w:t>
            </w:r>
          </w:p>
          <w:p w:rsidR="00571079" w:rsidRPr="002E16A2" w:rsidRDefault="00571079" w:rsidP="00B5139B">
            <w:pPr>
              <w:spacing w:line="276" w:lineRule="auto"/>
              <w:jc w:val="center"/>
              <w:outlineLvl w:val="0"/>
              <w:rPr>
                <w:bCs/>
              </w:rPr>
            </w:pPr>
            <w:r w:rsidRPr="002E16A2">
              <w:rPr>
                <w:bCs/>
              </w:rPr>
              <w:t>Октомври 2017</w:t>
            </w:r>
            <w:r w:rsidR="00B5139B">
              <w:rPr>
                <w:bCs/>
              </w:rPr>
              <w:t xml:space="preserve"> г.</w:t>
            </w:r>
          </w:p>
        </w:tc>
      </w:tr>
    </w:tbl>
    <w:p w:rsidR="00C92968" w:rsidRDefault="00C92968" w:rsidP="00083D3B">
      <w:pPr>
        <w:pStyle w:val="ListParagraph"/>
        <w:spacing w:line="360" w:lineRule="auto"/>
        <w:ind w:left="567" w:hanging="567"/>
        <w:jc w:val="both"/>
        <w:rPr>
          <w:b/>
        </w:rPr>
      </w:pPr>
    </w:p>
    <w:p w:rsidR="00607CEF" w:rsidRDefault="00A94B40" w:rsidP="00DC59D4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b/>
        </w:rPr>
      </w:pPr>
      <w:r w:rsidRPr="00607CEF">
        <w:rPr>
          <w:b/>
        </w:rPr>
        <w:t>ДРУГИ</w:t>
      </w:r>
    </w:p>
    <w:p w:rsidR="006579D6" w:rsidRDefault="006579D6" w:rsidP="00397536">
      <w:pPr>
        <w:pStyle w:val="ListParagraph"/>
        <w:spacing w:line="360" w:lineRule="auto"/>
        <w:ind w:left="0" w:firstLine="567"/>
        <w:jc w:val="both"/>
      </w:pPr>
      <w:r w:rsidRPr="006579D6">
        <w:t>Платформата има отворен характер и представлява основа за разширяване на взаимодействие</w:t>
      </w:r>
      <w:r>
        <w:t xml:space="preserve">то </w:t>
      </w:r>
      <w:r w:rsidR="00397536">
        <w:t xml:space="preserve">и </w:t>
      </w:r>
      <w:r>
        <w:t>на заинтересованите страни</w:t>
      </w:r>
      <w:r w:rsidR="00397536">
        <w:t xml:space="preserve"> на национално, областно и местно равнище на управление.</w:t>
      </w:r>
    </w:p>
    <w:p w:rsidR="00C92968" w:rsidRPr="006579D6" w:rsidRDefault="00B5139B" w:rsidP="005A4935">
      <w:pPr>
        <w:spacing w:line="360" w:lineRule="auto"/>
        <w:ind w:right="-142" w:firstLine="567"/>
        <w:jc w:val="both"/>
        <w:outlineLvl w:val="0"/>
      </w:pPr>
      <w:r>
        <w:t>Съветът на Платформата</w:t>
      </w:r>
      <w:r w:rsidR="00571079">
        <w:t xml:space="preserve"> </w:t>
      </w:r>
      <w:r w:rsidR="00C92968">
        <w:t xml:space="preserve">може да формулира, изменя или предлага да отпаднат конкретни обединени действия с оглед конкретните обстоятелства, </w:t>
      </w:r>
      <w:r w:rsidR="00270662">
        <w:t xml:space="preserve">което следва да се извършва </w:t>
      </w:r>
      <w:r w:rsidR="009C25A2">
        <w:t xml:space="preserve">в съответствие с </w:t>
      </w:r>
      <w:r w:rsidR="00C92968">
        <w:t>Работна</w:t>
      </w:r>
      <w:r w:rsidR="009C25A2">
        <w:t>та</w:t>
      </w:r>
      <w:r w:rsidR="00C92968">
        <w:t xml:space="preserve"> програма на националния координатор за учене на възрастни за периода 2015 –</w:t>
      </w:r>
      <w:r>
        <w:t xml:space="preserve"> 2017</w:t>
      </w:r>
      <w:r w:rsidR="00C92968">
        <w:t xml:space="preserve"> </w:t>
      </w:r>
      <w:r w:rsidR="00571079">
        <w:t xml:space="preserve">година, одобрена за изпълнение </w:t>
      </w:r>
      <w:r w:rsidR="00C92968">
        <w:t xml:space="preserve">по проект </w:t>
      </w:r>
      <w:r w:rsidR="00C92968">
        <w:rPr>
          <w:bCs/>
        </w:rPr>
        <w:t xml:space="preserve">Проект №: </w:t>
      </w:r>
      <w:r w:rsidR="00C92968">
        <w:rPr>
          <w:bCs/>
          <w:lang w:val="en-US"/>
        </w:rPr>
        <w:t>3761</w:t>
      </w:r>
      <w:r w:rsidR="00C92968">
        <w:rPr>
          <w:bCs/>
        </w:rPr>
        <w:t>-EPP-1-201</w:t>
      </w:r>
      <w:r w:rsidR="00C92968">
        <w:rPr>
          <w:bCs/>
          <w:lang w:val="en-US"/>
        </w:rPr>
        <w:t>5</w:t>
      </w:r>
      <w:r w:rsidR="00C92968" w:rsidRPr="003800AE">
        <w:rPr>
          <w:bCs/>
        </w:rPr>
        <w:t>-1-BG-EPPKA3-AL-AGENDA</w:t>
      </w:r>
      <w:r>
        <w:rPr>
          <w:bCs/>
        </w:rPr>
        <w:t xml:space="preserve"> от Изпълнителната агенция по образование, аудиовизия и култура към Европейската комисия.</w:t>
      </w:r>
    </w:p>
    <w:sectPr w:rsidR="00C92968" w:rsidRPr="006579D6" w:rsidSect="00D71E97">
      <w:headerReference w:type="default" r:id="rId9"/>
      <w:footerReference w:type="default" r:id="rId10"/>
      <w:pgSz w:w="11906" w:h="16838"/>
      <w:pgMar w:top="1135" w:right="1416" w:bottom="1560" w:left="1417" w:header="1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7D" w:rsidRDefault="00DB2C7D">
      <w:r>
        <w:separator/>
      </w:r>
    </w:p>
  </w:endnote>
  <w:endnote w:type="continuationSeparator" w:id="0">
    <w:p w:rsidR="00DB2C7D" w:rsidRDefault="00DB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0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33B" w:rsidRDefault="009A63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A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1E97" w:rsidRPr="008F373B" w:rsidRDefault="00D71E97" w:rsidP="00D71E97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</w:pPr>
    <w:r w:rsidRPr="008F373B">
      <w:t>Проект №: 567452-ЕРР-1-2015-1-</w:t>
    </w:r>
    <w:r w:rsidRPr="008F373B">
      <w:rPr>
        <w:lang w:val="en-US"/>
      </w:rPr>
      <w:t>BG-EPPKA3-AL-AGENDA</w:t>
    </w:r>
  </w:p>
  <w:p w:rsidR="00D71E97" w:rsidRPr="008F373B" w:rsidRDefault="00D71E97" w:rsidP="00D71E97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</w:pPr>
    <w:r w:rsidRPr="008F373B">
      <w:t>Споразумение № 2015 - 2761 / 001 – 001</w:t>
    </w:r>
  </w:p>
  <w:p w:rsidR="00D71E97" w:rsidRPr="006A152D" w:rsidRDefault="00D71E97" w:rsidP="00D71E97">
    <w:pPr>
      <w:pBdr>
        <w:top w:val="single" w:sz="4" w:space="1" w:color="auto"/>
      </w:pBdr>
      <w:tabs>
        <w:tab w:val="left" w:pos="9214"/>
      </w:tabs>
      <w:ind w:left="-709" w:right="-425"/>
      <w:jc w:val="center"/>
      <w:outlineLvl w:val="0"/>
      <w:rPr>
        <w:rFonts w:ascii="Calibri" w:hAnsi="Calibri"/>
        <w:bCs/>
      </w:rPr>
    </w:pPr>
    <w:hyperlink r:id="rId1" w:history="1">
      <w:r w:rsidRPr="004B4D55">
        <w:rPr>
          <w:rStyle w:val="Hyperlink"/>
          <w:rFonts w:ascii="Calibri" w:hAnsi="Calibri"/>
          <w:bCs/>
          <w:lang w:val="en-US"/>
        </w:rPr>
        <w:t>http://lll.mon.bg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7D" w:rsidRDefault="00DB2C7D">
      <w:r>
        <w:separator/>
      </w:r>
    </w:p>
  </w:footnote>
  <w:footnote w:type="continuationSeparator" w:id="0">
    <w:p w:rsidR="00DB2C7D" w:rsidRDefault="00DB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B6" w:rsidRPr="006231A0" w:rsidRDefault="00992AB6" w:rsidP="003D383E">
    <w:pPr>
      <w:pStyle w:val="Default"/>
      <w:rPr>
        <w:lang w:val="en-US"/>
      </w:rPr>
    </w:pPr>
  </w:p>
  <w:p w:rsidR="00992AB6" w:rsidRDefault="00992AB6" w:rsidP="00D10B26">
    <w:pPr>
      <w:spacing w:line="276" w:lineRule="auto"/>
      <w:ind w:right="2"/>
      <w:jc w:val="center"/>
      <w:outlineLvl w:val="0"/>
      <w:rPr>
        <w:sz w:val="22"/>
        <w:szCs w:val="22"/>
        <w:lang w:val="en-US"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62336" behindDoc="0" locked="0" layoutInCell="1" allowOverlap="1" wp14:anchorId="74768B69" wp14:editId="02CF34AF">
          <wp:simplePos x="0" y="0"/>
          <wp:positionH relativeFrom="margin">
            <wp:posOffset>4313555</wp:posOffset>
          </wp:positionH>
          <wp:positionV relativeFrom="paragraph">
            <wp:posOffset>205105</wp:posOffset>
          </wp:positionV>
          <wp:extent cx="1838325" cy="533400"/>
          <wp:effectExtent l="0" t="0" r="9525" b="0"/>
          <wp:wrapSquare wrapText="bothSides"/>
          <wp:docPr id="7" name="Картина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961">
      <w:rPr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4C2A9" wp14:editId="374CCA3A">
              <wp:simplePos x="0" y="0"/>
              <wp:positionH relativeFrom="column">
                <wp:posOffset>-725170</wp:posOffset>
              </wp:positionH>
              <wp:positionV relativeFrom="paragraph">
                <wp:posOffset>158750</wp:posOffset>
              </wp:positionV>
              <wp:extent cx="3717290" cy="8058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729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B6" w:rsidRDefault="00992AB6" w:rsidP="0042761D">
                          <w:pPr>
                            <w:ind w:left="284"/>
                          </w:pPr>
                          <w:r w:rsidRPr="003A373B"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3E871039" wp14:editId="5E863239">
                                <wp:extent cx="1076325" cy="713487"/>
                                <wp:effectExtent l="0" t="0" r="0" b="0"/>
                                <wp:docPr id="3" name="Picture 1" descr="C:\Users\d.enchev\Desktop\eu_flag-2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.enchev\Desktop\eu_flag-2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134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 wp14:anchorId="5D41948A" wp14:editId="37EC5830">
                                <wp:extent cx="1108075" cy="714375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80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7.1pt;margin-top:12.5pt;width:292.7pt;height:6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dksQIAALc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" filled="f" stroked="f">
              <v:textbox style="mso-fit-shape-to-text:t">
                <w:txbxContent>
                  <w:p w:rsidR="00992AB6" w:rsidRDefault="00992AB6" w:rsidP="0042761D">
                    <w:pPr>
                      <w:ind w:left="284"/>
                    </w:pPr>
                    <w:r w:rsidRPr="003A373B">
                      <w:rPr>
                        <w:noProof/>
                        <w:lang w:eastAsia="bg-BG"/>
                      </w:rPr>
                      <w:drawing>
                        <wp:inline distT="0" distB="0" distL="0" distR="0" wp14:anchorId="39876DFD" wp14:editId="1B9348F8">
                          <wp:extent cx="1076325" cy="713487"/>
                          <wp:effectExtent l="0" t="0" r="0" b="0"/>
                          <wp:docPr id="3" name="Picture 1" descr="C:\Users\d.enchev\Desktop\eu_flag-2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.enchev\Desktop\eu_flag-2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134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 wp14:anchorId="7C63258F" wp14:editId="02A4EC7E">
                          <wp:extent cx="1108075" cy="714375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80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3301C">
      <w:rPr>
        <w:noProof/>
        <w:sz w:val="22"/>
        <w:szCs w:val="22"/>
        <w:lang w:eastAsia="bg-BG"/>
      </w:rPr>
      <w:drawing>
        <wp:inline distT="0" distB="0" distL="0" distR="0" wp14:anchorId="17F6F514" wp14:editId="7824CA37">
          <wp:extent cx="818250" cy="742950"/>
          <wp:effectExtent l="19050" t="0" r="90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16" cy="7460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2AB6" w:rsidRPr="00D3301C" w:rsidRDefault="00992AB6" w:rsidP="00D3301C">
    <w:pPr>
      <w:jc w:val="center"/>
      <w:outlineLvl w:val="0"/>
      <w:rPr>
        <w:rFonts w:asciiTheme="minorHAnsi" w:hAnsiTheme="minorHAnsi"/>
        <w:b/>
        <w:bCs/>
        <w:sz w:val="16"/>
        <w:szCs w:val="16"/>
      </w:rPr>
    </w:pPr>
    <w:r w:rsidRPr="00D3301C">
      <w:rPr>
        <w:rFonts w:asciiTheme="minorHAnsi" w:hAnsiTheme="minorHAnsi"/>
        <w:b/>
        <w:bCs/>
        <w:sz w:val="16"/>
        <w:szCs w:val="16"/>
      </w:rPr>
      <w:t>„Националните координатори в изпълнение на</w:t>
    </w:r>
  </w:p>
  <w:p w:rsidR="00992AB6" w:rsidRPr="009A549D" w:rsidRDefault="00992AB6" w:rsidP="009A549D">
    <w:pPr>
      <w:jc w:val="center"/>
      <w:outlineLvl w:val="0"/>
      <w:rPr>
        <w:rFonts w:asciiTheme="minorHAnsi" w:hAnsiTheme="minorHAnsi"/>
        <w:b/>
        <w:bCs/>
        <w:sz w:val="16"/>
        <w:szCs w:val="16"/>
        <w:lang w:val="en-US"/>
      </w:rPr>
    </w:pPr>
    <w:r w:rsidRPr="00D3301C">
      <w:rPr>
        <w:rFonts w:asciiTheme="minorHAnsi" w:hAnsiTheme="minorHAnsi"/>
        <w:b/>
        <w:bCs/>
        <w:sz w:val="16"/>
        <w:szCs w:val="16"/>
      </w:rPr>
      <w:t>Европейската програма за учене на възрастни”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D81"/>
    <w:multiLevelType w:val="hybridMultilevel"/>
    <w:tmpl w:val="487C3EEC"/>
    <w:lvl w:ilvl="0" w:tplc="8BD62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91C"/>
    <w:multiLevelType w:val="hybridMultilevel"/>
    <w:tmpl w:val="37CE4D3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AC5821"/>
    <w:multiLevelType w:val="hybridMultilevel"/>
    <w:tmpl w:val="527496E6"/>
    <w:lvl w:ilvl="0" w:tplc="B66E22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33BE"/>
    <w:multiLevelType w:val="hybridMultilevel"/>
    <w:tmpl w:val="96361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7019A"/>
    <w:multiLevelType w:val="hybridMultilevel"/>
    <w:tmpl w:val="51A8177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F725B9"/>
    <w:multiLevelType w:val="hybridMultilevel"/>
    <w:tmpl w:val="527496E6"/>
    <w:lvl w:ilvl="0" w:tplc="B66E227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6239E"/>
    <w:multiLevelType w:val="hybridMultilevel"/>
    <w:tmpl w:val="25B86B6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9C069B"/>
    <w:multiLevelType w:val="hybridMultilevel"/>
    <w:tmpl w:val="49F0D0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362AB"/>
    <w:multiLevelType w:val="hybridMultilevel"/>
    <w:tmpl w:val="1860997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D58192F"/>
    <w:multiLevelType w:val="hybridMultilevel"/>
    <w:tmpl w:val="A1D4D508"/>
    <w:lvl w:ilvl="0" w:tplc="8BD621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DA"/>
    <w:rsid w:val="00000161"/>
    <w:rsid w:val="00002039"/>
    <w:rsid w:val="00002AC7"/>
    <w:rsid w:val="0000774A"/>
    <w:rsid w:val="00013722"/>
    <w:rsid w:val="00017777"/>
    <w:rsid w:val="00017B71"/>
    <w:rsid w:val="00022706"/>
    <w:rsid w:val="00030C93"/>
    <w:rsid w:val="00031474"/>
    <w:rsid w:val="00031F9E"/>
    <w:rsid w:val="000374D0"/>
    <w:rsid w:val="000441B9"/>
    <w:rsid w:val="00045299"/>
    <w:rsid w:val="0005261C"/>
    <w:rsid w:val="00060026"/>
    <w:rsid w:val="000638B1"/>
    <w:rsid w:val="0006570F"/>
    <w:rsid w:val="00065C51"/>
    <w:rsid w:val="000667C4"/>
    <w:rsid w:val="00070B46"/>
    <w:rsid w:val="00076BCA"/>
    <w:rsid w:val="00083D3B"/>
    <w:rsid w:val="00087409"/>
    <w:rsid w:val="00095BA8"/>
    <w:rsid w:val="000970CF"/>
    <w:rsid w:val="000A1CB1"/>
    <w:rsid w:val="000A562E"/>
    <w:rsid w:val="000A7156"/>
    <w:rsid w:val="000B11CF"/>
    <w:rsid w:val="000B470D"/>
    <w:rsid w:val="000C5A85"/>
    <w:rsid w:val="000D3042"/>
    <w:rsid w:val="000D52D0"/>
    <w:rsid w:val="000F3016"/>
    <w:rsid w:val="000F57BC"/>
    <w:rsid w:val="0010065B"/>
    <w:rsid w:val="00107542"/>
    <w:rsid w:val="00110656"/>
    <w:rsid w:val="001128BC"/>
    <w:rsid w:val="00112CF7"/>
    <w:rsid w:val="00130E03"/>
    <w:rsid w:val="0013347D"/>
    <w:rsid w:val="00141CEC"/>
    <w:rsid w:val="0014434A"/>
    <w:rsid w:val="00147797"/>
    <w:rsid w:val="001510CA"/>
    <w:rsid w:val="00155D13"/>
    <w:rsid w:val="0015753F"/>
    <w:rsid w:val="0016105B"/>
    <w:rsid w:val="00163296"/>
    <w:rsid w:val="00164E7F"/>
    <w:rsid w:val="00170031"/>
    <w:rsid w:val="001704AA"/>
    <w:rsid w:val="00172631"/>
    <w:rsid w:val="001748F1"/>
    <w:rsid w:val="00176A4F"/>
    <w:rsid w:val="001774DB"/>
    <w:rsid w:val="00181275"/>
    <w:rsid w:val="00185DB7"/>
    <w:rsid w:val="00191E8A"/>
    <w:rsid w:val="00192337"/>
    <w:rsid w:val="00195B45"/>
    <w:rsid w:val="001A0CF3"/>
    <w:rsid w:val="001A1722"/>
    <w:rsid w:val="001A4D4D"/>
    <w:rsid w:val="001A5628"/>
    <w:rsid w:val="001C478E"/>
    <w:rsid w:val="001C64F6"/>
    <w:rsid w:val="001D39E2"/>
    <w:rsid w:val="001D3A07"/>
    <w:rsid w:val="001D7E04"/>
    <w:rsid w:val="001E1786"/>
    <w:rsid w:val="001E26A1"/>
    <w:rsid w:val="001E3E2B"/>
    <w:rsid w:val="001E3F30"/>
    <w:rsid w:val="001E70EC"/>
    <w:rsid w:val="001E7920"/>
    <w:rsid w:val="001F0B34"/>
    <w:rsid w:val="001F24B6"/>
    <w:rsid w:val="001F6E61"/>
    <w:rsid w:val="00200B2D"/>
    <w:rsid w:val="00201BF4"/>
    <w:rsid w:val="002029C1"/>
    <w:rsid w:val="00204FAE"/>
    <w:rsid w:val="0021021E"/>
    <w:rsid w:val="00213E48"/>
    <w:rsid w:val="002141D7"/>
    <w:rsid w:val="002165E0"/>
    <w:rsid w:val="00220DC9"/>
    <w:rsid w:val="00221193"/>
    <w:rsid w:val="00225A04"/>
    <w:rsid w:val="00234451"/>
    <w:rsid w:val="00241297"/>
    <w:rsid w:val="00242F49"/>
    <w:rsid w:val="002435D9"/>
    <w:rsid w:val="00243BEF"/>
    <w:rsid w:val="00244061"/>
    <w:rsid w:val="00253BAA"/>
    <w:rsid w:val="002578C6"/>
    <w:rsid w:val="00261BE0"/>
    <w:rsid w:val="0026202D"/>
    <w:rsid w:val="00262673"/>
    <w:rsid w:val="00266286"/>
    <w:rsid w:val="00267B1F"/>
    <w:rsid w:val="00270662"/>
    <w:rsid w:val="00280125"/>
    <w:rsid w:val="0028049F"/>
    <w:rsid w:val="002818E1"/>
    <w:rsid w:val="0028495C"/>
    <w:rsid w:val="00290717"/>
    <w:rsid w:val="002916AA"/>
    <w:rsid w:val="002A3E3F"/>
    <w:rsid w:val="002A5230"/>
    <w:rsid w:val="002C144E"/>
    <w:rsid w:val="002C15AF"/>
    <w:rsid w:val="002C3811"/>
    <w:rsid w:val="002D184F"/>
    <w:rsid w:val="002D5462"/>
    <w:rsid w:val="002E04FA"/>
    <w:rsid w:val="002E16A2"/>
    <w:rsid w:val="002E3303"/>
    <w:rsid w:val="002E785A"/>
    <w:rsid w:val="002F281A"/>
    <w:rsid w:val="002F2BC4"/>
    <w:rsid w:val="002F4AF9"/>
    <w:rsid w:val="002F4D69"/>
    <w:rsid w:val="002F60AF"/>
    <w:rsid w:val="00301330"/>
    <w:rsid w:val="00301DDA"/>
    <w:rsid w:val="00302648"/>
    <w:rsid w:val="00304D1C"/>
    <w:rsid w:val="00304F23"/>
    <w:rsid w:val="00310A40"/>
    <w:rsid w:val="00311754"/>
    <w:rsid w:val="00311DBC"/>
    <w:rsid w:val="00311DE2"/>
    <w:rsid w:val="00313248"/>
    <w:rsid w:val="00314EDF"/>
    <w:rsid w:val="00315347"/>
    <w:rsid w:val="00320A56"/>
    <w:rsid w:val="00320B85"/>
    <w:rsid w:val="003259BE"/>
    <w:rsid w:val="0032784D"/>
    <w:rsid w:val="00327F67"/>
    <w:rsid w:val="00330B16"/>
    <w:rsid w:val="00330B20"/>
    <w:rsid w:val="00341F03"/>
    <w:rsid w:val="00342565"/>
    <w:rsid w:val="0034464A"/>
    <w:rsid w:val="0035593C"/>
    <w:rsid w:val="00355AAF"/>
    <w:rsid w:val="00364AEC"/>
    <w:rsid w:val="00366DD6"/>
    <w:rsid w:val="0037260C"/>
    <w:rsid w:val="00372887"/>
    <w:rsid w:val="00374195"/>
    <w:rsid w:val="00375B0F"/>
    <w:rsid w:val="00376572"/>
    <w:rsid w:val="00386531"/>
    <w:rsid w:val="003876BE"/>
    <w:rsid w:val="00390848"/>
    <w:rsid w:val="0039118B"/>
    <w:rsid w:val="00392C4C"/>
    <w:rsid w:val="00393EEC"/>
    <w:rsid w:val="00395B42"/>
    <w:rsid w:val="00397536"/>
    <w:rsid w:val="003A373B"/>
    <w:rsid w:val="003A63BF"/>
    <w:rsid w:val="003B243A"/>
    <w:rsid w:val="003B42D3"/>
    <w:rsid w:val="003B4DE0"/>
    <w:rsid w:val="003C5CEE"/>
    <w:rsid w:val="003C6CE6"/>
    <w:rsid w:val="003C74F5"/>
    <w:rsid w:val="003C7C0D"/>
    <w:rsid w:val="003D383E"/>
    <w:rsid w:val="003D46F2"/>
    <w:rsid w:val="003D6B0B"/>
    <w:rsid w:val="003E0B7E"/>
    <w:rsid w:val="003E7A16"/>
    <w:rsid w:val="003F2601"/>
    <w:rsid w:val="003F2871"/>
    <w:rsid w:val="003F713C"/>
    <w:rsid w:val="00405777"/>
    <w:rsid w:val="0040798C"/>
    <w:rsid w:val="00407C72"/>
    <w:rsid w:val="00411C0F"/>
    <w:rsid w:val="00412E44"/>
    <w:rsid w:val="004133FC"/>
    <w:rsid w:val="004149BB"/>
    <w:rsid w:val="0041789F"/>
    <w:rsid w:val="00420569"/>
    <w:rsid w:val="00420A13"/>
    <w:rsid w:val="0042208E"/>
    <w:rsid w:val="00423D23"/>
    <w:rsid w:val="0042761D"/>
    <w:rsid w:val="00427E3A"/>
    <w:rsid w:val="00431EE3"/>
    <w:rsid w:val="004411E2"/>
    <w:rsid w:val="00451580"/>
    <w:rsid w:val="004522BC"/>
    <w:rsid w:val="00453C9B"/>
    <w:rsid w:val="0046121E"/>
    <w:rsid w:val="00462162"/>
    <w:rsid w:val="00463CF4"/>
    <w:rsid w:val="00463EDC"/>
    <w:rsid w:val="00472670"/>
    <w:rsid w:val="004819EF"/>
    <w:rsid w:val="00486A81"/>
    <w:rsid w:val="00487B43"/>
    <w:rsid w:val="00487DF5"/>
    <w:rsid w:val="00493CC1"/>
    <w:rsid w:val="004B4D55"/>
    <w:rsid w:val="004B59D2"/>
    <w:rsid w:val="004B7B64"/>
    <w:rsid w:val="004C0F17"/>
    <w:rsid w:val="004D3403"/>
    <w:rsid w:val="004D42DE"/>
    <w:rsid w:val="004D537F"/>
    <w:rsid w:val="004E5F69"/>
    <w:rsid w:val="004E6842"/>
    <w:rsid w:val="004F2EBD"/>
    <w:rsid w:val="004F6AD8"/>
    <w:rsid w:val="004F709A"/>
    <w:rsid w:val="00501579"/>
    <w:rsid w:val="00502ECA"/>
    <w:rsid w:val="005039C3"/>
    <w:rsid w:val="0050492E"/>
    <w:rsid w:val="00511908"/>
    <w:rsid w:val="005145BD"/>
    <w:rsid w:val="00516356"/>
    <w:rsid w:val="00523B46"/>
    <w:rsid w:val="0052460E"/>
    <w:rsid w:val="00526FB2"/>
    <w:rsid w:val="00532E7D"/>
    <w:rsid w:val="005373D9"/>
    <w:rsid w:val="00537835"/>
    <w:rsid w:val="00551C7A"/>
    <w:rsid w:val="00553619"/>
    <w:rsid w:val="00556670"/>
    <w:rsid w:val="0056362D"/>
    <w:rsid w:val="00564A69"/>
    <w:rsid w:val="00571079"/>
    <w:rsid w:val="005779B5"/>
    <w:rsid w:val="00577ABF"/>
    <w:rsid w:val="005802B1"/>
    <w:rsid w:val="00581294"/>
    <w:rsid w:val="0058245E"/>
    <w:rsid w:val="0058322F"/>
    <w:rsid w:val="00583D43"/>
    <w:rsid w:val="005846F5"/>
    <w:rsid w:val="00585511"/>
    <w:rsid w:val="00594F50"/>
    <w:rsid w:val="00597E81"/>
    <w:rsid w:val="005A4935"/>
    <w:rsid w:val="005A4C18"/>
    <w:rsid w:val="005A7688"/>
    <w:rsid w:val="005B2237"/>
    <w:rsid w:val="005B2DD6"/>
    <w:rsid w:val="005B6BFA"/>
    <w:rsid w:val="005B7259"/>
    <w:rsid w:val="005C0568"/>
    <w:rsid w:val="005C23DD"/>
    <w:rsid w:val="005C27AE"/>
    <w:rsid w:val="005C4366"/>
    <w:rsid w:val="005D3192"/>
    <w:rsid w:val="005E4E60"/>
    <w:rsid w:val="005E6DD1"/>
    <w:rsid w:val="005F2471"/>
    <w:rsid w:val="005F63BF"/>
    <w:rsid w:val="005F68B7"/>
    <w:rsid w:val="00603167"/>
    <w:rsid w:val="00603FEC"/>
    <w:rsid w:val="00606004"/>
    <w:rsid w:val="006068F7"/>
    <w:rsid w:val="00607CEF"/>
    <w:rsid w:val="0061065B"/>
    <w:rsid w:val="0061400A"/>
    <w:rsid w:val="0062017D"/>
    <w:rsid w:val="006231A0"/>
    <w:rsid w:val="0062394A"/>
    <w:rsid w:val="00624195"/>
    <w:rsid w:val="006241C8"/>
    <w:rsid w:val="00624ECF"/>
    <w:rsid w:val="006268CB"/>
    <w:rsid w:val="00627D3E"/>
    <w:rsid w:val="00632674"/>
    <w:rsid w:val="00632AB2"/>
    <w:rsid w:val="00636107"/>
    <w:rsid w:val="00636BF9"/>
    <w:rsid w:val="0064151E"/>
    <w:rsid w:val="00641CED"/>
    <w:rsid w:val="00642B72"/>
    <w:rsid w:val="00644CA1"/>
    <w:rsid w:val="00645318"/>
    <w:rsid w:val="00646363"/>
    <w:rsid w:val="00646801"/>
    <w:rsid w:val="006505DF"/>
    <w:rsid w:val="006523F6"/>
    <w:rsid w:val="00653836"/>
    <w:rsid w:val="006579D6"/>
    <w:rsid w:val="00657E2F"/>
    <w:rsid w:val="006651A4"/>
    <w:rsid w:val="00667F12"/>
    <w:rsid w:val="00671BBE"/>
    <w:rsid w:val="00672B42"/>
    <w:rsid w:val="00674E6B"/>
    <w:rsid w:val="00690B58"/>
    <w:rsid w:val="00692446"/>
    <w:rsid w:val="006924C3"/>
    <w:rsid w:val="00695FFA"/>
    <w:rsid w:val="0069649E"/>
    <w:rsid w:val="006A152D"/>
    <w:rsid w:val="006A5237"/>
    <w:rsid w:val="006B1001"/>
    <w:rsid w:val="006B21DE"/>
    <w:rsid w:val="006B22FC"/>
    <w:rsid w:val="006B42C5"/>
    <w:rsid w:val="006B54A6"/>
    <w:rsid w:val="006B5609"/>
    <w:rsid w:val="006C0B73"/>
    <w:rsid w:val="006C29E0"/>
    <w:rsid w:val="006C58BB"/>
    <w:rsid w:val="006D0230"/>
    <w:rsid w:val="006D69CA"/>
    <w:rsid w:val="006D7E86"/>
    <w:rsid w:val="006E0CDA"/>
    <w:rsid w:val="006E3C71"/>
    <w:rsid w:val="006E6BC9"/>
    <w:rsid w:val="006F2DFA"/>
    <w:rsid w:val="00703CDF"/>
    <w:rsid w:val="00710E1D"/>
    <w:rsid w:val="007170C8"/>
    <w:rsid w:val="007248A9"/>
    <w:rsid w:val="007249BB"/>
    <w:rsid w:val="007258A3"/>
    <w:rsid w:val="00727FFB"/>
    <w:rsid w:val="00733EC3"/>
    <w:rsid w:val="007369E6"/>
    <w:rsid w:val="00741B53"/>
    <w:rsid w:val="007459E8"/>
    <w:rsid w:val="00747AAA"/>
    <w:rsid w:val="00753B2B"/>
    <w:rsid w:val="00757334"/>
    <w:rsid w:val="007604E4"/>
    <w:rsid w:val="00760AD7"/>
    <w:rsid w:val="00763E66"/>
    <w:rsid w:val="0076716D"/>
    <w:rsid w:val="00771FCF"/>
    <w:rsid w:val="00773D8D"/>
    <w:rsid w:val="00774DA4"/>
    <w:rsid w:val="00786359"/>
    <w:rsid w:val="00786C09"/>
    <w:rsid w:val="007901A4"/>
    <w:rsid w:val="00794145"/>
    <w:rsid w:val="007948EF"/>
    <w:rsid w:val="0079626F"/>
    <w:rsid w:val="007974C0"/>
    <w:rsid w:val="007A3058"/>
    <w:rsid w:val="007B5D79"/>
    <w:rsid w:val="007C4A1F"/>
    <w:rsid w:val="007C4A2F"/>
    <w:rsid w:val="007C6E5A"/>
    <w:rsid w:val="007D4A6C"/>
    <w:rsid w:val="007D7559"/>
    <w:rsid w:val="007D7BA4"/>
    <w:rsid w:val="007E0330"/>
    <w:rsid w:val="007E0735"/>
    <w:rsid w:val="007E7E4E"/>
    <w:rsid w:val="007F2A2C"/>
    <w:rsid w:val="007F2B4C"/>
    <w:rsid w:val="00805F3E"/>
    <w:rsid w:val="008146CB"/>
    <w:rsid w:val="008168C5"/>
    <w:rsid w:val="0081768B"/>
    <w:rsid w:val="008201C4"/>
    <w:rsid w:val="0082238A"/>
    <w:rsid w:val="00822E05"/>
    <w:rsid w:val="00827E24"/>
    <w:rsid w:val="0083150F"/>
    <w:rsid w:val="00836F08"/>
    <w:rsid w:val="008401EF"/>
    <w:rsid w:val="00850BF3"/>
    <w:rsid w:val="00851110"/>
    <w:rsid w:val="0085497F"/>
    <w:rsid w:val="00857D98"/>
    <w:rsid w:val="00875D2D"/>
    <w:rsid w:val="0087700A"/>
    <w:rsid w:val="0088105C"/>
    <w:rsid w:val="00893F42"/>
    <w:rsid w:val="00897850"/>
    <w:rsid w:val="008A1D02"/>
    <w:rsid w:val="008A63B4"/>
    <w:rsid w:val="008A671E"/>
    <w:rsid w:val="008A6C09"/>
    <w:rsid w:val="008B5DB8"/>
    <w:rsid w:val="008C2327"/>
    <w:rsid w:val="008C4C78"/>
    <w:rsid w:val="008E05C8"/>
    <w:rsid w:val="008E14D8"/>
    <w:rsid w:val="008E324B"/>
    <w:rsid w:val="008F0061"/>
    <w:rsid w:val="008F3CDE"/>
    <w:rsid w:val="009048F1"/>
    <w:rsid w:val="00906177"/>
    <w:rsid w:val="009164F7"/>
    <w:rsid w:val="009205B0"/>
    <w:rsid w:val="009205C5"/>
    <w:rsid w:val="009251F6"/>
    <w:rsid w:val="009316E3"/>
    <w:rsid w:val="00931F55"/>
    <w:rsid w:val="00932499"/>
    <w:rsid w:val="00936390"/>
    <w:rsid w:val="0094075C"/>
    <w:rsid w:val="00940B67"/>
    <w:rsid w:val="00945478"/>
    <w:rsid w:val="00946245"/>
    <w:rsid w:val="00946689"/>
    <w:rsid w:val="00947A1C"/>
    <w:rsid w:val="009511B7"/>
    <w:rsid w:val="00952E7C"/>
    <w:rsid w:val="00953C82"/>
    <w:rsid w:val="009554F8"/>
    <w:rsid w:val="00957D64"/>
    <w:rsid w:val="00957EAA"/>
    <w:rsid w:val="00960A4B"/>
    <w:rsid w:val="009620DA"/>
    <w:rsid w:val="00963EA6"/>
    <w:rsid w:val="0097052F"/>
    <w:rsid w:val="00970782"/>
    <w:rsid w:val="0097343C"/>
    <w:rsid w:val="00983969"/>
    <w:rsid w:val="00985C46"/>
    <w:rsid w:val="0098759C"/>
    <w:rsid w:val="009875C5"/>
    <w:rsid w:val="00992AB6"/>
    <w:rsid w:val="00993B8F"/>
    <w:rsid w:val="0099412C"/>
    <w:rsid w:val="009945FA"/>
    <w:rsid w:val="00995CD6"/>
    <w:rsid w:val="009A2D5E"/>
    <w:rsid w:val="009A49E9"/>
    <w:rsid w:val="009A549D"/>
    <w:rsid w:val="009A633B"/>
    <w:rsid w:val="009B6588"/>
    <w:rsid w:val="009C0440"/>
    <w:rsid w:val="009C25A2"/>
    <w:rsid w:val="009C57EF"/>
    <w:rsid w:val="009D2E3C"/>
    <w:rsid w:val="009D368D"/>
    <w:rsid w:val="009D37E2"/>
    <w:rsid w:val="009D42FA"/>
    <w:rsid w:val="009D4BA0"/>
    <w:rsid w:val="009E2541"/>
    <w:rsid w:val="009F221D"/>
    <w:rsid w:val="009F40DE"/>
    <w:rsid w:val="009F78AB"/>
    <w:rsid w:val="00A02AE0"/>
    <w:rsid w:val="00A02C92"/>
    <w:rsid w:val="00A039D3"/>
    <w:rsid w:val="00A043B7"/>
    <w:rsid w:val="00A043FE"/>
    <w:rsid w:val="00A06D91"/>
    <w:rsid w:val="00A10520"/>
    <w:rsid w:val="00A110B4"/>
    <w:rsid w:val="00A123F1"/>
    <w:rsid w:val="00A157EB"/>
    <w:rsid w:val="00A20D07"/>
    <w:rsid w:val="00A21353"/>
    <w:rsid w:val="00A22786"/>
    <w:rsid w:val="00A2341D"/>
    <w:rsid w:val="00A237C1"/>
    <w:rsid w:val="00A23CE9"/>
    <w:rsid w:val="00A25A80"/>
    <w:rsid w:val="00A34A88"/>
    <w:rsid w:val="00A37206"/>
    <w:rsid w:val="00A404A9"/>
    <w:rsid w:val="00A46211"/>
    <w:rsid w:val="00A46301"/>
    <w:rsid w:val="00A53977"/>
    <w:rsid w:val="00A5651B"/>
    <w:rsid w:val="00A56F58"/>
    <w:rsid w:val="00A609A0"/>
    <w:rsid w:val="00A6224E"/>
    <w:rsid w:val="00A6290E"/>
    <w:rsid w:val="00A64AD5"/>
    <w:rsid w:val="00A70F40"/>
    <w:rsid w:val="00A71821"/>
    <w:rsid w:val="00A7252B"/>
    <w:rsid w:val="00A81A00"/>
    <w:rsid w:val="00A875C1"/>
    <w:rsid w:val="00A910B0"/>
    <w:rsid w:val="00A9111F"/>
    <w:rsid w:val="00A94B40"/>
    <w:rsid w:val="00A97F23"/>
    <w:rsid w:val="00AA0AE9"/>
    <w:rsid w:val="00AA1864"/>
    <w:rsid w:val="00AA1D8C"/>
    <w:rsid w:val="00AA5C0E"/>
    <w:rsid w:val="00AB0A0F"/>
    <w:rsid w:val="00AB0EE1"/>
    <w:rsid w:val="00AB12C6"/>
    <w:rsid w:val="00AB6BCD"/>
    <w:rsid w:val="00AB700C"/>
    <w:rsid w:val="00AB7C9F"/>
    <w:rsid w:val="00AC7776"/>
    <w:rsid w:val="00AC7D88"/>
    <w:rsid w:val="00AD1396"/>
    <w:rsid w:val="00AE1222"/>
    <w:rsid w:val="00AE1C5A"/>
    <w:rsid w:val="00AE1FE9"/>
    <w:rsid w:val="00AE2B18"/>
    <w:rsid w:val="00AE5981"/>
    <w:rsid w:val="00AF5801"/>
    <w:rsid w:val="00B057C3"/>
    <w:rsid w:val="00B20516"/>
    <w:rsid w:val="00B2166E"/>
    <w:rsid w:val="00B21757"/>
    <w:rsid w:val="00B24BC3"/>
    <w:rsid w:val="00B3484D"/>
    <w:rsid w:val="00B3653C"/>
    <w:rsid w:val="00B36AA1"/>
    <w:rsid w:val="00B43AC3"/>
    <w:rsid w:val="00B46176"/>
    <w:rsid w:val="00B50689"/>
    <w:rsid w:val="00B5139B"/>
    <w:rsid w:val="00B62DA3"/>
    <w:rsid w:val="00B659B6"/>
    <w:rsid w:val="00B66004"/>
    <w:rsid w:val="00B66812"/>
    <w:rsid w:val="00B676E4"/>
    <w:rsid w:val="00B67A75"/>
    <w:rsid w:val="00B74DCB"/>
    <w:rsid w:val="00B74E37"/>
    <w:rsid w:val="00B76861"/>
    <w:rsid w:val="00B80FFA"/>
    <w:rsid w:val="00B81BE2"/>
    <w:rsid w:val="00B83AAC"/>
    <w:rsid w:val="00B91EF3"/>
    <w:rsid w:val="00B9213A"/>
    <w:rsid w:val="00BA23AA"/>
    <w:rsid w:val="00BA4307"/>
    <w:rsid w:val="00BA7ADE"/>
    <w:rsid w:val="00BA7CE0"/>
    <w:rsid w:val="00BB2DFE"/>
    <w:rsid w:val="00BB4838"/>
    <w:rsid w:val="00BC24AD"/>
    <w:rsid w:val="00BC2A97"/>
    <w:rsid w:val="00BC4226"/>
    <w:rsid w:val="00BC5320"/>
    <w:rsid w:val="00BC5BF1"/>
    <w:rsid w:val="00BC7153"/>
    <w:rsid w:val="00BD3A53"/>
    <w:rsid w:val="00BD7AE6"/>
    <w:rsid w:val="00BD7E4C"/>
    <w:rsid w:val="00BE0601"/>
    <w:rsid w:val="00BE4D05"/>
    <w:rsid w:val="00BE6DD7"/>
    <w:rsid w:val="00BF0239"/>
    <w:rsid w:val="00BF0EFC"/>
    <w:rsid w:val="00BF0FA3"/>
    <w:rsid w:val="00BF27A3"/>
    <w:rsid w:val="00BF4DDD"/>
    <w:rsid w:val="00BF5CF5"/>
    <w:rsid w:val="00BF7449"/>
    <w:rsid w:val="00C026BD"/>
    <w:rsid w:val="00C0329A"/>
    <w:rsid w:val="00C05283"/>
    <w:rsid w:val="00C05710"/>
    <w:rsid w:val="00C12543"/>
    <w:rsid w:val="00C12A61"/>
    <w:rsid w:val="00C15238"/>
    <w:rsid w:val="00C16C62"/>
    <w:rsid w:val="00C17EA9"/>
    <w:rsid w:val="00C22664"/>
    <w:rsid w:val="00C31B90"/>
    <w:rsid w:val="00C40875"/>
    <w:rsid w:val="00C43549"/>
    <w:rsid w:val="00C44D40"/>
    <w:rsid w:val="00C46EB7"/>
    <w:rsid w:val="00C52BFD"/>
    <w:rsid w:val="00C56CC0"/>
    <w:rsid w:val="00C6007C"/>
    <w:rsid w:val="00C61B75"/>
    <w:rsid w:val="00C62A00"/>
    <w:rsid w:val="00C6306B"/>
    <w:rsid w:val="00C6355F"/>
    <w:rsid w:val="00C7296A"/>
    <w:rsid w:val="00C72FFD"/>
    <w:rsid w:val="00C73267"/>
    <w:rsid w:val="00C738A1"/>
    <w:rsid w:val="00C7411D"/>
    <w:rsid w:val="00C74259"/>
    <w:rsid w:val="00C81F4C"/>
    <w:rsid w:val="00C82729"/>
    <w:rsid w:val="00C92968"/>
    <w:rsid w:val="00C93122"/>
    <w:rsid w:val="00C9422A"/>
    <w:rsid w:val="00C96EB4"/>
    <w:rsid w:val="00CA029D"/>
    <w:rsid w:val="00CA0D33"/>
    <w:rsid w:val="00CA232F"/>
    <w:rsid w:val="00CA4763"/>
    <w:rsid w:val="00CA5AC2"/>
    <w:rsid w:val="00CA6B75"/>
    <w:rsid w:val="00CA7BEA"/>
    <w:rsid w:val="00CB7D7F"/>
    <w:rsid w:val="00CC1A1D"/>
    <w:rsid w:val="00CC20DE"/>
    <w:rsid w:val="00CC792E"/>
    <w:rsid w:val="00CD0ECB"/>
    <w:rsid w:val="00CD1CDD"/>
    <w:rsid w:val="00CD2213"/>
    <w:rsid w:val="00CF3A55"/>
    <w:rsid w:val="00CF77C9"/>
    <w:rsid w:val="00D02BCC"/>
    <w:rsid w:val="00D03195"/>
    <w:rsid w:val="00D04579"/>
    <w:rsid w:val="00D0630B"/>
    <w:rsid w:val="00D06CA9"/>
    <w:rsid w:val="00D10B26"/>
    <w:rsid w:val="00D114ED"/>
    <w:rsid w:val="00D12567"/>
    <w:rsid w:val="00D12805"/>
    <w:rsid w:val="00D1295E"/>
    <w:rsid w:val="00D13651"/>
    <w:rsid w:val="00D14F5D"/>
    <w:rsid w:val="00D173D0"/>
    <w:rsid w:val="00D23C49"/>
    <w:rsid w:val="00D2483F"/>
    <w:rsid w:val="00D270B9"/>
    <w:rsid w:val="00D3301C"/>
    <w:rsid w:val="00D3487E"/>
    <w:rsid w:val="00D3625C"/>
    <w:rsid w:val="00D51882"/>
    <w:rsid w:val="00D5190E"/>
    <w:rsid w:val="00D524EC"/>
    <w:rsid w:val="00D555ED"/>
    <w:rsid w:val="00D61687"/>
    <w:rsid w:val="00D64BE4"/>
    <w:rsid w:val="00D706E5"/>
    <w:rsid w:val="00D71E97"/>
    <w:rsid w:val="00D72A9E"/>
    <w:rsid w:val="00D737A9"/>
    <w:rsid w:val="00D7437A"/>
    <w:rsid w:val="00D75688"/>
    <w:rsid w:val="00D80A94"/>
    <w:rsid w:val="00D86B43"/>
    <w:rsid w:val="00D90D4A"/>
    <w:rsid w:val="00D955EF"/>
    <w:rsid w:val="00DA397F"/>
    <w:rsid w:val="00DA3BB8"/>
    <w:rsid w:val="00DA43DF"/>
    <w:rsid w:val="00DB1588"/>
    <w:rsid w:val="00DB1E6C"/>
    <w:rsid w:val="00DB2C7D"/>
    <w:rsid w:val="00DC59D4"/>
    <w:rsid w:val="00DC7D70"/>
    <w:rsid w:val="00DD1298"/>
    <w:rsid w:val="00DD4CBE"/>
    <w:rsid w:val="00DD77F8"/>
    <w:rsid w:val="00DE1B05"/>
    <w:rsid w:val="00DE286A"/>
    <w:rsid w:val="00DE4A47"/>
    <w:rsid w:val="00DF6E9C"/>
    <w:rsid w:val="00E06EA6"/>
    <w:rsid w:val="00E11452"/>
    <w:rsid w:val="00E1319B"/>
    <w:rsid w:val="00E14571"/>
    <w:rsid w:val="00E20FF8"/>
    <w:rsid w:val="00E247D2"/>
    <w:rsid w:val="00E312F0"/>
    <w:rsid w:val="00E31C65"/>
    <w:rsid w:val="00E406F2"/>
    <w:rsid w:val="00E41739"/>
    <w:rsid w:val="00E41D11"/>
    <w:rsid w:val="00E421B0"/>
    <w:rsid w:val="00E434F1"/>
    <w:rsid w:val="00E45947"/>
    <w:rsid w:val="00E46661"/>
    <w:rsid w:val="00E47F28"/>
    <w:rsid w:val="00E54422"/>
    <w:rsid w:val="00E708EB"/>
    <w:rsid w:val="00E73705"/>
    <w:rsid w:val="00E73DFF"/>
    <w:rsid w:val="00E74472"/>
    <w:rsid w:val="00E744B3"/>
    <w:rsid w:val="00E80313"/>
    <w:rsid w:val="00E81BF3"/>
    <w:rsid w:val="00E836D7"/>
    <w:rsid w:val="00E91BBF"/>
    <w:rsid w:val="00E965D7"/>
    <w:rsid w:val="00EA1FA4"/>
    <w:rsid w:val="00EA2852"/>
    <w:rsid w:val="00EA2B9A"/>
    <w:rsid w:val="00EB2DE9"/>
    <w:rsid w:val="00EB30F1"/>
    <w:rsid w:val="00EB4DFB"/>
    <w:rsid w:val="00EB6E1A"/>
    <w:rsid w:val="00EB6E43"/>
    <w:rsid w:val="00EB7C5A"/>
    <w:rsid w:val="00EC0B42"/>
    <w:rsid w:val="00ED14A6"/>
    <w:rsid w:val="00ED14D7"/>
    <w:rsid w:val="00ED5F95"/>
    <w:rsid w:val="00EE0DFF"/>
    <w:rsid w:val="00EF2897"/>
    <w:rsid w:val="00F04B46"/>
    <w:rsid w:val="00F11D75"/>
    <w:rsid w:val="00F11F1C"/>
    <w:rsid w:val="00F146A7"/>
    <w:rsid w:val="00F14A9B"/>
    <w:rsid w:val="00F15E8D"/>
    <w:rsid w:val="00F16FED"/>
    <w:rsid w:val="00F173AA"/>
    <w:rsid w:val="00F20961"/>
    <w:rsid w:val="00F22353"/>
    <w:rsid w:val="00F2388E"/>
    <w:rsid w:val="00F30ADA"/>
    <w:rsid w:val="00F3556A"/>
    <w:rsid w:val="00F3581F"/>
    <w:rsid w:val="00F40FD9"/>
    <w:rsid w:val="00F44539"/>
    <w:rsid w:val="00F4761B"/>
    <w:rsid w:val="00F4798E"/>
    <w:rsid w:val="00F47A50"/>
    <w:rsid w:val="00F511D9"/>
    <w:rsid w:val="00F52087"/>
    <w:rsid w:val="00F56E1B"/>
    <w:rsid w:val="00F604C8"/>
    <w:rsid w:val="00F61D43"/>
    <w:rsid w:val="00F61D7B"/>
    <w:rsid w:val="00F629CC"/>
    <w:rsid w:val="00F67DAD"/>
    <w:rsid w:val="00F823CC"/>
    <w:rsid w:val="00F84277"/>
    <w:rsid w:val="00F86068"/>
    <w:rsid w:val="00F879D9"/>
    <w:rsid w:val="00F87BAE"/>
    <w:rsid w:val="00FA5D91"/>
    <w:rsid w:val="00FB0818"/>
    <w:rsid w:val="00FB5943"/>
    <w:rsid w:val="00FB6C44"/>
    <w:rsid w:val="00FB6ED0"/>
    <w:rsid w:val="00FB7CF2"/>
    <w:rsid w:val="00FC6EB0"/>
    <w:rsid w:val="00FD0D6D"/>
    <w:rsid w:val="00FD625B"/>
    <w:rsid w:val="00FE2EF1"/>
    <w:rsid w:val="00FF275C"/>
    <w:rsid w:val="00FF2C1E"/>
    <w:rsid w:val="00FF7BD9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longtext">
    <w:name w:val="long_text"/>
    <w:basedOn w:val="DefaultParagraphFont"/>
    <w:rsid w:val="0010065B"/>
  </w:style>
  <w:style w:type="character" w:customStyle="1" w:styleId="FontStyle35">
    <w:name w:val="Font Style35"/>
    <w:basedOn w:val="DefaultParagraphFont"/>
    <w:uiPriority w:val="99"/>
    <w:rsid w:val="00DA3BB8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DDA"/>
    <w:rPr>
      <w:rFonts w:eastAsia="PMingLiU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70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0CDA"/>
    <w:pPr>
      <w:keepNext/>
      <w:jc w:val="both"/>
      <w:outlineLvl w:val="7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021E"/>
    <w:rPr>
      <w:rFonts w:ascii="Calibri" w:hAnsi="Calibri" w:cs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301DDA"/>
    <w:pPr>
      <w:widowControl w:val="0"/>
      <w:tabs>
        <w:tab w:val="left" w:pos="-720"/>
      </w:tabs>
      <w:suppressAutoHyphens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1021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uiPriority w:val="99"/>
    <w:rsid w:val="00301DDA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0B470D"/>
    <w:pPr>
      <w:widowControl w:val="0"/>
      <w:tabs>
        <w:tab w:val="left" w:pos="0"/>
      </w:tabs>
      <w:suppressAutoHyphens/>
      <w:jc w:val="center"/>
    </w:pPr>
    <w:rPr>
      <w:b/>
      <w:bCs/>
      <w:cap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021E"/>
    <w:rPr>
      <w:rFonts w:eastAsia="PMingLiU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B4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21E"/>
    <w:rPr>
      <w:rFonts w:eastAsia="PMingLiU" w:cs="Times New Roman"/>
      <w:sz w:val="24"/>
      <w:szCs w:val="24"/>
      <w:lang w:eastAsia="en-US"/>
    </w:rPr>
  </w:style>
  <w:style w:type="paragraph" w:customStyle="1" w:styleId="Default">
    <w:name w:val="Default"/>
    <w:rsid w:val="006E0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List Paragraph1,List1,Списък на абзаци,List Paragraph11"/>
    <w:basedOn w:val="Normal"/>
    <w:uiPriority w:val="34"/>
    <w:qFormat/>
    <w:rsid w:val="00983969"/>
    <w:pPr>
      <w:ind w:left="708"/>
    </w:pPr>
  </w:style>
  <w:style w:type="character" w:styleId="Hyperlink">
    <w:name w:val="Hyperlink"/>
    <w:basedOn w:val="DefaultParagraphFont"/>
    <w:uiPriority w:val="99"/>
    <w:rsid w:val="007E07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80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80125"/>
    <w:rPr>
      <w:rFonts w:ascii="Tahoma" w:eastAsia="PMingLiU" w:hAnsi="Tahoma" w:cs="Tahoma"/>
      <w:snapToGrid w:val="0"/>
      <w:sz w:val="16"/>
      <w:szCs w:val="16"/>
      <w:lang w:eastAsia="en-US"/>
    </w:rPr>
  </w:style>
  <w:style w:type="paragraph" w:customStyle="1" w:styleId="CM4">
    <w:name w:val="CM4"/>
    <w:basedOn w:val="Default"/>
    <w:next w:val="Default"/>
    <w:uiPriority w:val="99"/>
    <w:rsid w:val="00BF4DDD"/>
    <w:rPr>
      <w:rFonts w:ascii="EUAlbertina" w:eastAsia="Simsun (Founder Extended)" w:hAnsi="EUAlbertina" w:cs="EUAlbertina"/>
      <w:color w:val="auto"/>
      <w:lang w:eastAsia="zh-CN"/>
    </w:rPr>
  </w:style>
  <w:style w:type="character" w:styleId="PageNumber">
    <w:name w:val="page number"/>
    <w:basedOn w:val="DefaultParagraphFont"/>
    <w:uiPriority w:val="99"/>
    <w:rsid w:val="00960A4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46176"/>
    <w:rPr>
      <w:rFonts w:ascii="EUAlbertina" w:hAnsi="EUAlbertina"/>
      <w:color w:val="auto"/>
    </w:rPr>
  </w:style>
  <w:style w:type="paragraph" w:styleId="BodyText">
    <w:name w:val="Body Text"/>
    <w:basedOn w:val="Normal"/>
    <w:link w:val="BodyTextChar"/>
    <w:rsid w:val="00A6290E"/>
    <w:pPr>
      <w:jc w:val="both"/>
    </w:pPr>
    <w:rPr>
      <w:rFonts w:eastAsia="Times New Roman"/>
      <w:sz w:val="20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locked/>
    <w:rsid w:val="00A6290E"/>
    <w:rPr>
      <w:rFonts w:cs="Times New Roman"/>
    </w:rPr>
  </w:style>
  <w:style w:type="paragraph" w:styleId="NormalWeb">
    <w:name w:val="Normal (Web)"/>
    <w:basedOn w:val="Normal"/>
    <w:uiPriority w:val="99"/>
    <w:rsid w:val="00A6290E"/>
    <w:pPr>
      <w:spacing w:before="100" w:beforeAutospacing="1" w:after="100" w:afterAutospacing="1"/>
    </w:pPr>
    <w:rPr>
      <w:rFonts w:eastAsia="Times New Roman"/>
      <w:lang w:eastAsia="bg-BG"/>
    </w:rPr>
  </w:style>
  <w:style w:type="character" w:customStyle="1" w:styleId="FontStyle18">
    <w:name w:val="Font Style18"/>
    <w:basedOn w:val="DefaultParagraphFont"/>
    <w:uiPriority w:val="99"/>
    <w:rsid w:val="00A6290E"/>
    <w:rPr>
      <w:rFonts w:ascii="Times New Roman" w:hAnsi="Times New Roman" w:cs="Times New Roman"/>
      <w:sz w:val="22"/>
      <w:szCs w:val="22"/>
    </w:rPr>
  </w:style>
  <w:style w:type="paragraph" w:styleId="CommentText">
    <w:name w:val="annotation text"/>
    <w:basedOn w:val="Normal"/>
    <w:link w:val="CommentTextChar"/>
    <w:semiHidden/>
    <w:rsid w:val="00267B1F"/>
    <w:rPr>
      <w:rFonts w:eastAsia="Times New Roman"/>
      <w:sz w:val="20"/>
      <w:szCs w:val="20"/>
      <w:lang w:val="en-GB" w:eastAsia="nl-NL"/>
    </w:rPr>
  </w:style>
  <w:style w:type="character" w:customStyle="1" w:styleId="CommentTextChar">
    <w:name w:val="Comment Text Char"/>
    <w:basedOn w:val="DefaultParagraphFont"/>
    <w:link w:val="CommentText"/>
    <w:semiHidden/>
    <w:rsid w:val="00267B1F"/>
    <w:rPr>
      <w:sz w:val="20"/>
      <w:szCs w:val="20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9705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636107"/>
    <w:pPr>
      <w:spacing w:after="120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36107"/>
    <w:rPr>
      <w:rFonts w:ascii="HebarU" w:hAnsi="HebarU"/>
      <w:sz w:val="16"/>
      <w:szCs w:val="16"/>
      <w:lang w:eastAsia="en-US"/>
    </w:rPr>
  </w:style>
  <w:style w:type="table" w:styleId="TableGrid">
    <w:name w:val="Table Grid"/>
    <w:basedOn w:val="TableNormal"/>
    <w:locked/>
    <w:rsid w:val="00A91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A9111F"/>
  </w:style>
  <w:style w:type="paragraph" w:customStyle="1" w:styleId="Text1">
    <w:name w:val="Text 1"/>
    <w:basedOn w:val="Normal"/>
    <w:uiPriority w:val="99"/>
    <w:rsid w:val="00342565"/>
    <w:pPr>
      <w:spacing w:after="240"/>
      <w:ind w:left="483"/>
      <w:jc w:val="both"/>
    </w:pPr>
    <w:rPr>
      <w:rFonts w:eastAsia="Times New Roman"/>
      <w:szCs w:val="20"/>
      <w:lang w:val="en-GB"/>
    </w:rPr>
  </w:style>
  <w:style w:type="character" w:customStyle="1" w:styleId="longtext">
    <w:name w:val="long_text"/>
    <w:basedOn w:val="DefaultParagraphFont"/>
    <w:rsid w:val="0010065B"/>
  </w:style>
  <w:style w:type="character" w:customStyle="1" w:styleId="FontStyle35">
    <w:name w:val="Font Style35"/>
    <w:basedOn w:val="DefaultParagraphFont"/>
    <w:uiPriority w:val="99"/>
    <w:rsid w:val="00DA3BB8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20" w:color="919191"/>
            <w:right w:val="none" w:sz="0" w:space="0" w:color="auto"/>
          </w:divBdr>
          <w:divsChild>
            <w:div w:id="442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ll.mon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0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39DB0-6ECE-4738-BE84-1D3C9A88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ИЗРАБОТКА</vt:lpstr>
    </vt:vector>
  </TitlesOfParts>
  <Company>MON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ИЗРАБОТКА</dc:title>
  <dc:creator>HPMON</dc:creator>
  <cp:lastModifiedBy>Zhuliyan N. Gochev</cp:lastModifiedBy>
  <cp:revision>7</cp:revision>
  <cp:lastPrinted>2016-03-14T13:54:00Z</cp:lastPrinted>
  <dcterms:created xsi:type="dcterms:W3CDTF">2016-11-17T12:16:00Z</dcterms:created>
  <dcterms:modified xsi:type="dcterms:W3CDTF">2016-11-17T12:23:00Z</dcterms:modified>
</cp:coreProperties>
</file>